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356" w:rsidRDefault="00FA6A68">
      <w:pPr>
        <w:tabs>
          <w:tab w:val="center" w:pos="4536"/>
          <w:tab w:val="right" w:pos="9355"/>
          <w:tab w:val="right" w:pos="9639"/>
        </w:tabs>
        <w:snapToGrid w:val="0"/>
        <w:spacing w:after="0"/>
        <w:rPr>
          <w:rFonts w:ascii="Arial" w:eastAsia="宋体" w:hAnsi="Arial" w:cs="Arial"/>
          <w:b/>
          <w:bCs/>
          <w:sz w:val="22"/>
          <w:szCs w:val="22"/>
          <w:lang w:val="en-US" w:eastAsia="zh-CN"/>
        </w:rPr>
      </w:pPr>
      <w:r>
        <w:rPr>
          <w:rFonts w:ascii="Arial" w:hAnsi="Arial" w:cs="Arial"/>
          <w:b/>
          <w:bCs/>
          <w:sz w:val="22"/>
          <w:szCs w:val="22"/>
        </w:rPr>
        <w:t xml:space="preserve">3GPP TSG RAN WG1 </w:t>
      </w:r>
      <w:r>
        <w:rPr>
          <w:rFonts w:ascii="Arial" w:eastAsia="宋体" w:hAnsi="Arial" w:cs="Arial" w:hint="eastAsia"/>
          <w:b/>
          <w:bCs/>
          <w:sz w:val="22"/>
          <w:szCs w:val="22"/>
          <w:lang w:val="en-US" w:eastAsia="zh-CN"/>
        </w:rPr>
        <w:t xml:space="preserve">96                                 </w:t>
      </w:r>
      <w:r>
        <w:rPr>
          <w:rFonts w:ascii="Arial" w:hAnsi="Arial" w:cs="Arial"/>
          <w:b/>
          <w:bCs/>
          <w:sz w:val="22"/>
          <w:szCs w:val="22"/>
        </w:rPr>
        <w:tab/>
        <w:t xml:space="preserve">                                                           R1-1901878</w:t>
      </w:r>
    </w:p>
    <w:p w:rsidR="00D97356" w:rsidRDefault="00FA6A68">
      <w:pPr>
        <w:pStyle w:val="ae"/>
        <w:snapToGrid w:val="0"/>
        <w:spacing w:afterLines="50" w:after="180"/>
        <w:rPr>
          <w:rFonts w:eastAsia="MS Mincho" w:cs="Arial"/>
          <w:bCs/>
          <w:sz w:val="22"/>
          <w:szCs w:val="22"/>
          <w:lang w:eastAsia="ja-JP"/>
        </w:rPr>
      </w:pPr>
      <w:r>
        <w:rPr>
          <w:rFonts w:cs="Arial"/>
          <w:bCs/>
          <w:sz w:val="22"/>
          <w:szCs w:val="22"/>
          <w:lang w:val="en-GB" w:eastAsia="ja-JP"/>
        </w:rPr>
        <w:t>Athens, Greece, 25th February – 1st March, 2019</w:t>
      </w:r>
    </w:p>
    <w:p w:rsidR="00D97356" w:rsidRDefault="00FA6A68">
      <w:pPr>
        <w:pStyle w:val="ae"/>
        <w:snapToGrid w:val="0"/>
        <w:rPr>
          <w:rFonts w:eastAsia="宋体"/>
          <w:sz w:val="22"/>
          <w:szCs w:val="22"/>
          <w:lang w:eastAsia="zh-CN"/>
        </w:rPr>
      </w:pPr>
      <w:r>
        <w:rPr>
          <w:sz w:val="22"/>
          <w:szCs w:val="22"/>
        </w:rPr>
        <w:t>Source:              ZTE</w:t>
      </w:r>
      <w:r>
        <w:rPr>
          <w:rFonts w:hint="eastAsia"/>
          <w:sz w:val="22"/>
          <w:szCs w:val="22"/>
          <w:lang w:eastAsia="zh-CN"/>
        </w:rPr>
        <w:t xml:space="preserve">, </w:t>
      </w:r>
      <w:r>
        <w:rPr>
          <w:sz w:val="22"/>
          <w:szCs w:val="22"/>
        </w:rPr>
        <w:t>Sanechips</w:t>
      </w:r>
    </w:p>
    <w:p w:rsidR="00D97356" w:rsidRDefault="00FA6A68">
      <w:pPr>
        <w:pStyle w:val="ae"/>
        <w:snapToGrid w:val="0"/>
        <w:rPr>
          <w:rFonts w:eastAsia="宋体"/>
          <w:sz w:val="22"/>
          <w:szCs w:val="22"/>
          <w:lang w:eastAsia="zh-CN"/>
        </w:rPr>
      </w:pPr>
      <w:r>
        <w:rPr>
          <w:sz w:val="22"/>
          <w:szCs w:val="22"/>
        </w:rPr>
        <w:t xml:space="preserve">Title:                  </w:t>
      </w:r>
      <w:r>
        <w:rPr>
          <w:rFonts w:eastAsia="宋体"/>
          <w:sz w:val="22"/>
          <w:szCs w:val="22"/>
          <w:lang w:eastAsia="zh-CN"/>
        </w:rPr>
        <w:t>Coexistence</w:t>
      </w:r>
      <w:r>
        <w:rPr>
          <w:rFonts w:eastAsia="宋体" w:hint="eastAsia"/>
          <w:sz w:val="22"/>
          <w:szCs w:val="22"/>
          <w:lang w:eastAsia="zh-CN"/>
        </w:rPr>
        <w:t xml:space="preserve"> between NR </w:t>
      </w:r>
      <w:r>
        <w:rPr>
          <w:rFonts w:eastAsia="宋体"/>
          <w:sz w:val="22"/>
          <w:szCs w:val="22"/>
          <w:lang w:eastAsia="zh-CN"/>
        </w:rPr>
        <w:t>V2X</w:t>
      </w:r>
      <w:r>
        <w:rPr>
          <w:rFonts w:eastAsia="宋体" w:hint="eastAsia"/>
          <w:sz w:val="22"/>
          <w:szCs w:val="22"/>
          <w:lang w:eastAsia="zh-CN"/>
        </w:rPr>
        <w:t xml:space="preserve"> and LTE </w:t>
      </w:r>
      <w:r>
        <w:rPr>
          <w:rFonts w:eastAsia="宋体"/>
          <w:sz w:val="22"/>
          <w:szCs w:val="22"/>
          <w:lang w:eastAsia="zh-CN"/>
        </w:rPr>
        <w:t>V2X</w:t>
      </w:r>
    </w:p>
    <w:p w:rsidR="00D97356" w:rsidRDefault="00FA6A68">
      <w:pPr>
        <w:pStyle w:val="ae"/>
        <w:snapToGrid w:val="0"/>
        <w:rPr>
          <w:rFonts w:eastAsia="宋体"/>
          <w:sz w:val="22"/>
          <w:szCs w:val="22"/>
          <w:lang w:eastAsia="zh-CN"/>
        </w:rPr>
      </w:pPr>
      <w:r>
        <w:rPr>
          <w:sz w:val="22"/>
          <w:szCs w:val="22"/>
        </w:rPr>
        <w:t>Agenda item:</w:t>
      </w:r>
      <w:r>
        <w:rPr>
          <w:rFonts w:eastAsia="宋体" w:hint="eastAsia"/>
          <w:sz w:val="22"/>
          <w:szCs w:val="22"/>
          <w:lang w:eastAsia="zh-CN"/>
        </w:rPr>
        <w:t xml:space="preserve">    7.2.4.5</w:t>
      </w:r>
    </w:p>
    <w:p w:rsidR="00D97356" w:rsidRDefault="00FA6A68">
      <w:pPr>
        <w:pStyle w:val="ae"/>
        <w:snapToGrid w:val="0"/>
        <w:rPr>
          <w:rFonts w:eastAsia="宋体"/>
          <w:sz w:val="22"/>
          <w:szCs w:val="22"/>
          <w:lang w:eastAsia="zh-CN"/>
        </w:rPr>
      </w:pPr>
      <w:r>
        <w:rPr>
          <w:sz w:val="22"/>
          <w:szCs w:val="22"/>
        </w:rPr>
        <w:t>Document for:  Discussion and Decision</w:t>
      </w:r>
    </w:p>
    <w:p w:rsidR="00D97356" w:rsidRDefault="00FA6A68">
      <w:pPr>
        <w:pStyle w:val="1"/>
        <w:snapToGrid w:val="0"/>
        <w:spacing w:beforeLines="0" w:afterLines="50" w:after="180"/>
      </w:pPr>
      <w:r>
        <w:t>I</w:t>
      </w:r>
      <w:r>
        <w:rPr>
          <w:rFonts w:hint="eastAsia"/>
        </w:rPr>
        <w:t>ntroduction</w:t>
      </w:r>
    </w:p>
    <w:p w:rsidR="00D97356" w:rsidRDefault="00FA6A68">
      <w:pPr>
        <w:snapToGrid w:val="0"/>
        <w:spacing w:before="120" w:afterLines="50"/>
        <w:rPr>
          <w:rFonts w:eastAsia="宋体"/>
          <w:lang w:val="en-US" w:eastAsia="zh-CN"/>
        </w:rPr>
      </w:pPr>
      <w:r>
        <w:rPr>
          <w:rFonts w:eastAsia="宋体" w:hint="eastAsia"/>
          <w:lang w:val="en-US" w:eastAsia="zh-CN"/>
        </w:rPr>
        <w:t>In RAN1 AdHoc 1901 meeting, agreements are made as follow [1].</w:t>
      </w:r>
    </w:p>
    <w:p w:rsidR="00D97356" w:rsidRDefault="00FA6A68">
      <w:pPr>
        <w:rPr>
          <w:b/>
        </w:rPr>
      </w:pPr>
      <w:r>
        <w:rPr>
          <w:highlight w:val="green"/>
        </w:rPr>
        <w:t>Agreements</w:t>
      </w:r>
      <w:r>
        <w:rPr>
          <w:b/>
        </w:rPr>
        <w:t>:</w:t>
      </w:r>
    </w:p>
    <w:p w:rsidR="00D97356" w:rsidRDefault="00FA6A68">
      <w:pPr>
        <w:pStyle w:val="af7"/>
        <w:numPr>
          <w:ilvl w:val="0"/>
          <w:numId w:val="2"/>
        </w:numPr>
        <w:ind w:leftChars="0"/>
        <w:contextualSpacing/>
        <w:rPr>
          <w:color w:val="000000"/>
        </w:rPr>
      </w:pPr>
      <w:r>
        <w:rPr>
          <w:color w:val="000000"/>
        </w:rPr>
        <w:t>For long term time scale TDM solutions for in-device coexistence between LTE and NR V2X:</w:t>
      </w:r>
    </w:p>
    <w:p w:rsidR="00D97356" w:rsidRDefault="00FA6A68">
      <w:pPr>
        <w:pStyle w:val="af7"/>
        <w:numPr>
          <w:ilvl w:val="1"/>
          <w:numId w:val="3"/>
        </w:numPr>
        <w:ind w:leftChars="0"/>
        <w:contextualSpacing/>
        <w:rPr>
          <w:lang w:eastAsia="zh-CN"/>
        </w:rPr>
      </w:pPr>
      <w:r>
        <w:rPr>
          <w:color w:val="000000"/>
        </w:rPr>
        <w:t>For a UE with coexistence impact, non-overlapping</w:t>
      </w:r>
      <w:r>
        <w:rPr>
          <w:lang w:eastAsia="zh-CN"/>
        </w:rPr>
        <w:t xml:space="preserve"> (in time domain) resource pools are (pre-)configured for NR V2X and LTE V2X sidelinks</w:t>
      </w:r>
    </w:p>
    <w:p w:rsidR="00D97356" w:rsidRDefault="00FA6A68">
      <w:pPr>
        <w:pStyle w:val="af7"/>
        <w:numPr>
          <w:ilvl w:val="2"/>
          <w:numId w:val="2"/>
        </w:numPr>
        <w:ind w:leftChars="0"/>
        <w:contextualSpacing/>
        <w:rPr>
          <w:lang w:eastAsia="zh-CN"/>
        </w:rPr>
      </w:pPr>
      <w:r>
        <w:t>No information is exchanged between LTE and NR sidelinks within the UE</w:t>
      </w:r>
    </w:p>
    <w:p w:rsidR="00D97356" w:rsidRDefault="00FA6A68">
      <w:pPr>
        <w:pStyle w:val="af7"/>
        <w:numPr>
          <w:ilvl w:val="0"/>
          <w:numId w:val="2"/>
        </w:numPr>
        <w:ind w:leftChars="0"/>
        <w:contextualSpacing/>
      </w:pPr>
      <w:r>
        <w:t>Long term time scale TDM solution is feasible fro</w:t>
      </w:r>
      <w:r>
        <w:t>m RAN1 point of view</w:t>
      </w:r>
    </w:p>
    <w:p w:rsidR="00D97356" w:rsidRDefault="00FA6A68">
      <w:pPr>
        <w:pStyle w:val="af7"/>
        <w:numPr>
          <w:ilvl w:val="1"/>
          <w:numId w:val="2"/>
        </w:numPr>
        <w:ind w:leftChars="0"/>
        <w:contextualSpacing/>
      </w:pPr>
      <w:r>
        <w:t xml:space="preserve">Note: although feasible, it is expected that such a solution may have impact on latency, reliability and data rate requirements for some applications </w:t>
      </w:r>
    </w:p>
    <w:p w:rsidR="00D97356" w:rsidRDefault="00FA6A68">
      <w:pPr>
        <w:pStyle w:val="af7"/>
        <w:numPr>
          <w:ilvl w:val="1"/>
          <w:numId w:val="2"/>
        </w:numPr>
        <w:ind w:leftChars="0"/>
        <w:contextualSpacing/>
      </w:pPr>
      <w:r>
        <w:t>No additional modifications to LTE specifications are needed</w:t>
      </w:r>
    </w:p>
    <w:p w:rsidR="00D97356" w:rsidRDefault="00FA6A68">
      <w:pPr>
        <w:rPr>
          <w:b/>
        </w:rPr>
      </w:pPr>
      <w:r>
        <w:rPr>
          <w:highlight w:val="green"/>
        </w:rPr>
        <w:t>Agreements</w:t>
      </w:r>
      <w:r>
        <w:rPr>
          <w:b/>
        </w:rPr>
        <w:t>:</w:t>
      </w:r>
    </w:p>
    <w:p w:rsidR="00D97356" w:rsidRDefault="00FA6A68">
      <w:r>
        <w:t>Assuming SP</w:t>
      </w:r>
      <w:r>
        <w:t>S scheduling (mode -3 or mode-4) for LTE V2X, for short time scale TDM solutions for in-device coexistence for V2X,</w:t>
      </w:r>
    </w:p>
    <w:p w:rsidR="00D97356" w:rsidRDefault="00FA6A68">
      <w:pPr>
        <w:pStyle w:val="af7"/>
        <w:numPr>
          <w:ilvl w:val="0"/>
          <w:numId w:val="2"/>
        </w:numPr>
        <w:ind w:leftChars="0"/>
        <w:contextualSpacing/>
        <w:rPr>
          <w:color w:val="000000"/>
        </w:rPr>
      </w:pPr>
      <w:r>
        <w:rPr>
          <w:color w:val="000000"/>
        </w:rPr>
        <w:t xml:space="preserve">For each occurrence of Tx/Tx overlap, one RAT is prioritized over another </w:t>
      </w:r>
    </w:p>
    <w:p w:rsidR="00D97356" w:rsidRDefault="00FA6A68">
      <w:pPr>
        <w:pStyle w:val="af7"/>
        <w:numPr>
          <w:ilvl w:val="1"/>
          <w:numId w:val="2"/>
        </w:numPr>
        <w:ind w:leftChars="0"/>
        <w:contextualSpacing/>
        <w:rPr>
          <w:color w:val="000000"/>
        </w:rPr>
      </w:pPr>
      <w:r>
        <w:rPr>
          <w:color w:val="000000"/>
        </w:rPr>
        <w:t>This requires some information exchange between LTE and NR sideli</w:t>
      </w:r>
      <w:r>
        <w:rPr>
          <w:color w:val="000000"/>
        </w:rPr>
        <w:t>nks within the UE</w:t>
      </w:r>
    </w:p>
    <w:p w:rsidR="00D97356" w:rsidRDefault="00FA6A68">
      <w:pPr>
        <w:pStyle w:val="af7"/>
        <w:numPr>
          <w:ilvl w:val="1"/>
          <w:numId w:val="2"/>
        </w:numPr>
        <w:ind w:leftChars="0"/>
        <w:contextualSpacing/>
        <w:rPr>
          <w:color w:val="000000"/>
        </w:rPr>
      </w:pPr>
      <w:r>
        <w:rPr>
          <w:color w:val="000000"/>
        </w:rPr>
        <w:t>FFS: whether the information exchange between LTE and NR sidelinks can support this requirement</w:t>
      </w:r>
    </w:p>
    <w:p w:rsidR="00D97356" w:rsidRDefault="00FA6A68">
      <w:pPr>
        <w:pStyle w:val="af7"/>
        <w:numPr>
          <w:ilvl w:val="1"/>
          <w:numId w:val="2"/>
        </w:numPr>
        <w:ind w:leftChars="0"/>
        <w:contextualSpacing/>
        <w:rPr>
          <w:color w:val="000000"/>
        </w:rPr>
      </w:pPr>
      <w:r>
        <w:rPr>
          <w:color w:val="000000"/>
        </w:rPr>
        <w:t>FFS: if there is impact to RAN1 LTE specification with this agreement</w:t>
      </w:r>
    </w:p>
    <w:p w:rsidR="00D97356" w:rsidRDefault="00FA6A68">
      <w:pPr>
        <w:pStyle w:val="af7"/>
        <w:numPr>
          <w:ilvl w:val="1"/>
          <w:numId w:val="2"/>
        </w:numPr>
        <w:ind w:leftChars="0"/>
        <w:contextualSpacing/>
        <w:rPr>
          <w:color w:val="000000"/>
        </w:rPr>
      </w:pPr>
      <w:r>
        <w:rPr>
          <w:color w:val="000000"/>
        </w:rPr>
        <w:t>FFS: whether this solution can be up to UE implementation</w:t>
      </w:r>
    </w:p>
    <w:p w:rsidR="00D97356" w:rsidRDefault="00FA6A68">
      <w:pPr>
        <w:pStyle w:val="af7"/>
        <w:numPr>
          <w:ilvl w:val="0"/>
          <w:numId w:val="2"/>
        </w:numPr>
        <w:ind w:leftChars="0"/>
        <w:contextualSpacing/>
        <w:rPr>
          <w:color w:val="000000"/>
        </w:rPr>
      </w:pPr>
      <w:r>
        <w:rPr>
          <w:color w:val="000000"/>
        </w:rPr>
        <w:t xml:space="preserve">For each occurrence of Tx/Rx overlap, one RAT is prioritized over another </w:t>
      </w:r>
    </w:p>
    <w:p w:rsidR="00D97356" w:rsidRDefault="00FA6A68">
      <w:pPr>
        <w:pStyle w:val="af7"/>
        <w:numPr>
          <w:ilvl w:val="1"/>
          <w:numId w:val="2"/>
        </w:numPr>
        <w:ind w:leftChars="0"/>
        <w:contextualSpacing/>
        <w:rPr>
          <w:color w:val="000000"/>
        </w:rPr>
      </w:pPr>
      <w:r>
        <w:rPr>
          <w:color w:val="000000"/>
        </w:rPr>
        <w:t>This requires some information exchange between LTE and NR sidelinks within the UE</w:t>
      </w:r>
    </w:p>
    <w:p w:rsidR="00D97356" w:rsidRDefault="00FA6A68">
      <w:pPr>
        <w:pStyle w:val="af7"/>
        <w:numPr>
          <w:ilvl w:val="1"/>
          <w:numId w:val="2"/>
        </w:numPr>
        <w:ind w:leftChars="0"/>
        <w:contextualSpacing/>
        <w:rPr>
          <w:color w:val="000000"/>
        </w:rPr>
      </w:pPr>
      <w:r>
        <w:rPr>
          <w:color w:val="000000"/>
        </w:rPr>
        <w:t>FFS: if there is impact to RAN1 LTE specification with this agreement</w:t>
      </w:r>
    </w:p>
    <w:p w:rsidR="00D97356" w:rsidRDefault="00FA6A68">
      <w:pPr>
        <w:pStyle w:val="af7"/>
        <w:numPr>
          <w:ilvl w:val="1"/>
          <w:numId w:val="2"/>
        </w:numPr>
        <w:ind w:leftChars="0"/>
        <w:contextualSpacing/>
        <w:rPr>
          <w:color w:val="000000"/>
        </w:rPr>
      </w:pPr>
      <w:r>
        <w:rPr>
          <w:color w:val="000000"/>
        </w:rPr>
        <w:t>FFS: whether this solution c</w:t>
      </w:r>
      <w:r>
        <w:rPr>
          <w:color w:val="000000"/>
        </w:rPr>
        <w:t>an be up to UE implementation</w:t>
      </w:r>
    </w:p>
    <w:p w:rsidR="00D97356" w:rsidRDefault="00FA6A68">
      <w:pPr>
        <w:pStyle w:val="af7"/>
        <w:numPr>
          <w:ilvl w:val="1"/>
          <w:numId w:val="2"/>
        </w:numPr>
        <w:ind w:leftChars="0"/>
        <w:contextualSpacing/>
      </w:pPr>
      <w:r>
        <w:rPr>
          <w:color w:val="000000"/>
        </w:rPr>
        <w:lastRenderedPageBreak/>
        <w:t>FFS: If determination of priority for Rx operation is feasible and whether the information exchange between LTE and NR sidelinks can support this requirement</w:t>
      </w:r>
    </w:p>
    <w:p w:rsidR="00D97356" w:rsidRDefault="00FA6A68">
      <w:pPr>
        <w:rPr>
          <w:b/>
        </w:rPr>
      </w:pPr>
      <w:r>
        <w:rPr>
          <w:highlight w:val="green"/>
        </w:rPr>
        <w:t>Agreements</w:t>
      </w:r>
      <w:r>
        <w:rPr>
          <w:b/>
        </w:rPr>
        <w:t>:</w:t>
      </w:r>
    </w:p>
    <w:p w:rsidR="00D97356" w:rsidRDefault="00FA6A68">
      <w:pPr>
        <w:pStyle w:val="af7"/>
        <w:numPr>
          <w:ilvl w:val="0"/>
          <w:numId w:val="4"/>
        </w:numPr>
        <w:ind w:leftChars="0"/>
        <w:contextualSpacing/>
      </w:pPr>
      <w:r>
        <w:t>Inter-band FDM Solutions for coexistence</w:t>
      </w:r>
    </w:p>
    <w:p w:rsidR="00D97356" w:rsidRDefault="00FA6A68">
      <w:pPr>
        <w:pStyle w:val="af7"/>
        <w:numPr>
          <w:ilvl w:val="1"/>
          <w:numId w:val="4"/>
        </w:numPr>
        <w:ind w:leftChars="0"/>
        <w:contextualSpacing/>
      </w:pPr>
      <w:r>
        <w:t>For static powe</w:t>
      </w:r>
      <w:r>
        <w:t xml:space="preserve">r </w:t>
      </w:r>
      <w:r>
        <w:rPr>
          <w:rFonts w:eastAsia="等线"/>
          <w:lang w:eastAsia="zh-CN"/>
        </w:rPr>
        <w:t>assignment of Pc,</w:t>
      </w:r>
      <w:r>
        <w:rPr>
          <w:rFonts w:eastAsia="等线"/>
          <w:lang w:eastAsia="zh-CN"/>
        </w:rPr>
        <w:t>max for each carrier</w:t>
      </w:r>
    </w:p>
    <w:p w:rsidR="00D97356" w:rsidRDefault="00FA6A68">
      <w:pPr>
        <w:pStyle w:val="af7"/>
        <w:numPr>
          <w:ilvl w:val="2"/>
          <w:numId w:val="4"/>
        </w:numPr>
        <w:ind w:leftChars="0"/>
        <w:contextualSpacing/>
      </w:pPr>
      <w:bookmarkStart w:id="0" w:name="_Ref534810133"/>
      <w:r>
        <w:rPr>
          <w:rFonts w:eastAsia="等线"/>
          <w:lang w:eastAsia="zh-CN"/>
        </w:rPr>
        <w:t>Synchronization is not assumed for</w:t>
      </w:r>
      <w:r>
        <w:t xml:space="preserve"> </w:t>
      </w:r>
      <w:r>
        <w:rPr>
          <w:rFonts w:eastAsia="等线"/>
          <w:lang w:eastAsia="zh-CN"/>
        </w:rPr>
        <w:t>inter-band coexistence of NR sidelink and LTE sidelink.</w:t>
      </w:r>
      <w:bookmarkEnd w:id="0"/>
    </w:p>
    <w:p w:rsidR="00D97356" w:rsidRDefault="00FA6A68">
      <w:pPr>
        <w:pStyle w:val="af7"/>
        <w:numPr>
          <w:ilvl w:val="2"/>
          <w:numId w:val="4"/>
        </w:numPr>
        <w:ind w:leftChars="0"/>
        <w:contextualSpacing/>
      </w:pPr>
      <w:r>
        <w:rPr>
          <w:rFonts w:eastAsia="等线"/>
          <w:lang w:eastAsia="zh-CN"/>
        </w:rPr>
        <w:t>This FDM solution is feasible for resolution of Tx/Tx coexistence conflicts</w:t>
      </w:r>
    </w:p>
    <w:p w:rsidR="00D97356" w:rsidRDefault="00FA6A68">
      <w:pPr>
        <w:pStyle w:val="af7"/>
        <w:numPr>
          <w:ilvl w:val="2"/>
          <w:numId w:val="4"/>
        </w:numPr>
        <w:ind w:leftChars="0"/>
        <w:contextualSpacing/>
      </w:pPr>
      <w:r>
        <w:rPr>
          <w:rFonts w:eastAsia="等线"/>
          <w:lang w:eastAsia="zh-CN"/>
        </w:rPr>
        <w:t xml:space="preserve">If the band separation is large enough (based on </w:t>
      </w:r>
      <w:r>
        <w:rPr>
          <w:rFonts w:eastAsia="等线"/>
          <w:lang w:eastAsia="zh-CN"/>
        </w:rPr>
        <w:t>RAN4 indication), then this FDM solution for coexistence is feasible for Tx/Rx coexistence</w:t>
      </w:r>
    </w:p>
    <w:p w:rsidR="00D97356" w:rsidRDefault="00FA6A68">
      <w:pPr>
        <w:pStyle w:val="af7"/>
        <w:numPr>
          <w:ilvl w:val="2"/>
          <w:numId w:val="4"/>
        </w:numPr>
        <w:ind w:leftChars="0"/>
        <w:contextualSpacing/>
      </w:pPr>
      <w:r>
        <w:rPr>
          <w:rFonts w:eastAsia="等线"/>
          <w:lang w:eastAsia="zh-CN"/>
        </w:rPr>
        <w:t>If the band separation is NOT large enough, then this FDM solution is not feasible for resolution of Tx/Rx coexistence conflicts</w:t>
      </w:r>
    </w:p>
    <w:p w:rsidR="00D97356" w:rsidRDefault="00FA6A68">
      <w:pPr>
        <w:pStyle w:val="af7"/>
        <w:numPr>
          <w:ilvl w:val="1"/>
          <w:numId w:val="4"/>
        </w:numPr>
        <w:ind w:leftChars="0"/>
        <w:contextualSpacing/>
      </w:pPr>
      <w:r>
        <w:t>For dynamic power sharing between ca</w:t>
      </w:r>
      <w:r>
        <w:t xml:space="preserve">rriers, </w:t>
      </w:r>
    </w:p>
    <w:p w:rsidR="00D97356" w:rsidRDefault="00FA6A68">
      <w:pPr>
        <w:pStyle w:val="af7"/>
        <w:numPr>
          <w:ilvl w:val="2"/>
          <w:numId w:val="4"/>
        </w:numPr>
        <w:ind w:leftChars="0"/>
        <w:contextualSpacing/>
      </w:pPr>
      <w:r>
        <w:t>FFS details of FDM solutions and whether they are feasible</w:t>
      </w:r>
    </w:p>
    <w:p w:rsidR="00D97356" w:rsidRDefault="00FA6A68">
      <w:pPr>
        <w:snapToGrid w:val="0"/>
        <w:spacing w:before="120" w:afterLines="50"/>
        <w:rPr>
          <w:rFonts w:eastAsia="宋体"/>
          <w:lang w:val="en-US" w:eastAsia="zh-CN"/>
        </w:rPr>
      </w:pPr>
      <w:r>
        <w:rPr>
          <w:rFonts w:eastAsia="宋体" w:hint="eastAsia"/>
          <w:lang w:val="en-US" w:eastAsia="zh-CN"/>
        </w:rPr>
        <w:t xml:space="preserve">In this </w:t>
      </w:r>
      <w:r>
        <w:rPr>
          <w:rFonts w:eastAsia="宋体"/>
          <w:lang w:val="en-US" w:eastAsia="zh-CN"/>
        </w:rPr>
        <w:t xml:space="preserve">contribution, we </w:t>
      </w:r>
      <w:r>
        <w:rPr>
          <w:rFonts w:eastAsia="宋体" w:hint="eastAsia"/>
          <w:lang w:val="en-US" w:eastAsia="zh-CN"/>
        </w:rPr>
        <w:t xml:space="preserve">will further </w:t>
      </w:r>
      <w:r>
        <w:rPr>
          <w:rFonts w:eastAsia="宋体"/>
          <w:lang w:val="en-US" w:eastAsia="zh-CN"/>
        </w:rPr>
        <w:t xml:space="preserve">discuss </w:t>
      </w:r>
      <w:r>
        <w:rPr>
          <w:rFonts w:eastAsia="宋体" w:hint="eastAsia"/>
          <w:lang w:val="en-US" w:eastAsia="zh-CN"/>
        </w:rPr>
        <w:t xml:space="preserve">some potential solutions about </w:t>
      </w:r>
      <w:r>
        <w:rPr>
          <w:lang w:val="en-US" w:eastAsia="zh-CN"/>
        </w:rPr>
        <w:t xml:space="preserve">the coexistence </w:t>
      </w:r>
      <w:r>
        <w:rPr>
          <w:lang w:val="en-US" w:eastAsia="ko-KR"/>
        </w:rPr>
        <w:t>mechanisms</w:t>
      </w:r>
      <w:r>
        <w:rPr>
          <w:rFonts w:eastAsia="宋体"/>
          <w:lang w:val="en-US" w:eastAsia="zh-CN"/>
        </w:rPr>
        <w:t>.</w:t>
      </w:r>
    </w:p>
    <w:p w:rsidR="00D97356" w:rsidRDefault="00FA6A68">
      <w:pPr>
        <w:pStyle w:val="1"/>
        <w:snapToGrid w:val="0"/>
        <w:spacing w:beforeLines="0" w:afterLines="50" w:after="180"/>
      </w:pPr>
      <w:r>
        <w:rPr>
          <w:rFonts w:hint="eastAsia"/>
          <w:sz w:val="32"/>
          <w:szCs w:val="32"/>
          <w:lang w:val="en-US"/>
        </w:rPr>
        <w:t>Discussion</w:t>
      </w:r>
    </w:p>
    <w:p w:rsidR="00D97356" w:rsidRDefault="00FA6A68">
      <w:pPr>
        <w:pStyle w:val="2"/>
      </w:pPr>
      <w:r>
        <w:rPr>
          <w:rFonts w:hint="eastAsia"/>
        </w:rPr>
        <w:t>TDM solutions</w:t>
      </w:r>
    </w:p>
    <w:p w:rsidR="00D97356" w:rsidRDefault="00FA6A68">
      <w:pPr>
        <w:pStyle w:val="3"/>
        <w:rPr>
          <w:lang w:val="en-US" w:eastAsia="zh-CN"/>
        </w:rPr>
      </w:pPr>
      <w:r>
        <w:rPr>
          <w:rFonts w:eastAsia="宋体" w:hint="eastAsia"/>
          <w:lang w:val="en-US" w:eastAsia="zh-CN"/>
        </w:rPr>
        <w:t>Short time scale TDM solutions</w:t>
      </w:r>
    </w:p>
    <w:p w:rsidR="00D97356" w:rsidRDefault="00FA6A68">
      <w:pPr>
        <w:snapToGrid w:val="0"/>
        <w:spacing w:afterLines="50"/>
        <w:rPr>
          <w:rFonts w:eastAsia="宋体"/>
          <w:lang w:val="en-US" w:eastAsia="zh-CN"/>
        </w:rPr>
      </w:pPr>
      <w:r>
        <w:rPr>
          <w:i/>
          <w:sz w:val="21"/>
          <w:szCs w:val="22"/>
          <w:u w:val="single"/>
          <w:lang w:eastAsia="zh-CN"/>
        </w:rPr>
        <w:t>Tx/Tx overlap</w:t>
      </w:r>
    </w:p>
    <w:p w:rsidR="00D97356" w:rsidRDefault="00FA6A68">
      <w:pPr>
        <w:snapToGrid w:val="0"/>
        <w:spacing w:afterLines="50"/>
        <w:rPr>
          <w:lang w:val="en-US" w:eastAsia="zh-CN"/>
        </w:rPr>
      </w:pPr>
      <w:r>
        <w:rPr>
          <w:rFonts w:eastAsia="宋体" w:hint="eastAsia"/>
          <w:lang w:val="en-US" w:eastAsia="zh-CN"/>
        </w:rPr>
        <w:t xml:space="preserve">For the case of Tx/Tx overlap, </w:t>
      </w:r>
      <w:r>
        <w:rPr>
          <w:rFonts w:hint="eastAsia"/>
          <w:lang w:val="en-US" w:eastAsia="zh-CN"/>
        </w:rPr>
        <w:t xml:space="preserve">the </w:t>
      </w:r>
      <w:r>
        <w:rPr>
          <w:lang w:eastAsia="zh-CN"/>
        </w:rPr>
        <w:t>transmission</w:t>
      </w:r>
      <w:r>
        <w:rPr>
          <w:rFonts w:eastAsiaTheme="minorEastAsia" w:hint="eastAsia"/>
          <w:lang w:eastAsia="zh-CN"/>
        </w:rPr>
        <w:t xml:space="preserve"> in</w:t>
      </w:r>
      <w:r>
        <w:rPr>
          <w:lang w:eastAsia="zh-CN"/>
        </w:rPr>
        <w:t xml:space="preserve"> time of LTE and NR </w:t>
      </w:r>
      <w:r>
        <w:rPr>
          <w:rFonts w:hint="eastAsia"/>
          <w:lang w:val="en-US" w:eastAsia="zh-CN"/>
        </w:rPr>
        <w:t>sidelink</w:t>
      </w:r>
      <w:r>
        <w:rPr>
          <w:lang w:eastAsia="zh-CN"/>
        </w:rPr>
        <w:t xml:space="preserve"> are known to each RAT</w:t>
      </w:r>
      <w:r>
        <w:rPr>
          <w:rFonts w:hint="eastAsia"/>
          <w:lang w:val="en-US" w:eastAsia="zh-CN"/>
        </w:rPr>
        <w:t xml:space="preserve"> (agreement in RAN1 #94bis). It was agreed in RAN1 AdHoc 1901 meeting that one RAT can be prioritized over another. If the UE determine the sidelink service</w:t>
      </w:r>
      <w:r>
        <w:rPr>
          <w:rFonts w:hint="eastAsia"/>
          <w:lang w:val="en-US" w:eastAsia="zh-CN"/>
        </w:rPr>
        <w:t xml:space="preserve">s of which RAT is transmitted by compare the priority of NR sidelink with the priority of LTE sidelink, the RAN1 LTE specification would be impacted. </w:t>
      </w:r>
      <w:r>
        <w:rPr>
          <w:rFonts w:eastAsia="宋体" w:hint="eastAsia"/>
          <w:color w:val="000000"/>
          <w:lang w:val="en-US" w:eastAsia="zh-CN"/>
        </w:rPr>
        <w:t xml:space="preserve">For example, </w:t>
      </w:r>
      <w:r>
        <w:rPr>
          <w:rFonts w:hint="eastAsia"/>
          <w:lang w:val="en-US" w:eastAsia="zh-CN"/>
        </w:rPr>
        <w:t xml:space="preserve">the UE would transmit LTE V2X service based on the priority compare which not difined in LTE </w:t>
      </w:r>
      <w:r>
        <w:rPr>
          <w:rFonts w:hint="eastAsia"/>
          <w:lang w:val="en-US" w:eastAsia="zh-CN"/>
        </w:rPr>
        <w:t xml:space="preserve">V2X. </w:t>
      </w:r>
    </w:p>
    <w:p w:rsidR="00D97356" w:rsidRDefault="00FA6A68">
      <w:pPr>
        <w:snapToGrid w:val="0"/>
        <w:spacing w:afterLines="50"/>
        <w:rPr>
          <w:rFonts w:eastAsia="宋体"/>
          <w:lang w:val="en-US" w:eastAsia="zh-CN"/>
        </w:rPr>
      </w:pPr>
      <w:r>
        <w:rPr>
          <w:rFonts w:hint="eastAsia"/>
          <w:lang w:val="en-US" w:eastAsia="zh-CN"/>
        </w:rPr>
        <w:t xml:space="preserve">In our views, </w:t>
      </w:r>
      <w:r>
        <w:rPr>
          <w:color w:val="000000"/>
        </w:rPr>
        <w:t>RAN1 LTE specification</w:t>
      </w:r>
      <w:r>
        <w:rPr>
          <w:rFonts w:eastAsia="宋体" w:hint="eastAsia"/>
          <w:color w:val="000000"/>
          <w:lang w:val="en-US" w:eastAsia="zh-CN"/>
        </w:rPr>
        <w:t xml:space="preserve"> should not be </w:t>
      </w:r>
      <w:r w:rsidR="008F7DEB">
        <w:rPr>
          <w:rFonts w:eastAsia="宋体"/>
          <w:color w:val="000000"/>
          <w:lang w:val="en-US" w:eastAsia="zh-CN"/>
        </w:rPr>
        <w:t>affected</w:t>
      </w:r>
      <w:r>
        <w:rPr>
          <w:rFonts w:eastAsia="宋体" w:hint="eastAsia"/>
          <w:color w:val="000000"/>
          <w:lang w:val="en-US" w:eastAsia="zh-CN"/>
        </w:rPr>
        <w:t xml:space="preserve"> by the </w:t>
      </w:r>
      <w:r>
        <w:t>in-device</w:t>
      </w:r>
      <w:r>
        <w:rPr>
          <w:rFonts w:eastAsia="宋体" w:hint="eastAsia"/>
          <w:lang w:val="en-US" w:eastAsia="zh-CN"/>
        </w:rPr>
        <w:t xml:space="preserve"> </w:t>
      </w:r>
      <w:r>
        <w:rPr>
          <w:rFonts w:eastAsia="宋体" w:hint="eastAsia"/>
          <w:color w:val="000000"/>
          <w:lang w:val="en-US" w:eastAsia="zh-CN"/>
        </w:rPr>
        <w:t>coexistence between LTE V2X and NR V2X.</w:t>
      </w:r>
      <w:r>
        <w:rPr>
          <w:rFonts w:eastAsia="宋体" w:hint="eastAsia"/>
          <w:color w:val="000000"/>
          <w:lang w:val="en-US" w:eastAsia="zh-CN"/>
        </w:rPr>
        <w:t xml:space="preserve"> </w:t>
      </w:r>
      <w:r>
        <w:rPr>
          <w:rFonts w:eastAsia="宋体" w:hint="eastAsia"/>
          <w:color w:val="000000"/>
          <w:lang w:val="en-US" w:eastAsia="zh-CN"/>
        </w:rPr>
        <w:t xml:space="preserve">The NR V2X specification is </w:t>
      </w:r>
      <w:r>
        <w:rPr>
          <w:rFonts w:eastAsia="宋体" w:hint="eastAsia"/>
          <w:color w:val="000000"/>
          <w:lang w:val="en-US" w:eastAsia="zh-CN"/>
        </w:rPr>
        <w:t xml:space="preserve">being </w:t>
      </w:r>
      <w:r>
        <w:rPr>
          <w:rFonts w:eastAsia="宋体" w:hint="eastAsia"/>
          <w:color w:val="000000"/>
          <w:lang w:val="en-US" w:eastAsia="zh-CN"/>
        </w:rPr>
        <w:t>draft</w:t>
      </w:r>
      <w:r>
        <w:rPr>
          <w:rFonts w:eastAsia="宋体" w:hint="eastAsia"/>
          <w:color w:val="000000"/>
          <w:lang w:val="en-US" w:eastAsia="zh-CN"/>
        </w:rPr>
        <w:t>ed</w:t>
      </w:r>
      <w:r>
        <w:rPr>
          <w:rFonts w:eastAsia="宋体" w:hint="eastAsia"/>
          <w:color w:val="000000"/>
          <w:lang w:val="en-US" w:eastAsia="zh-CN"/>
        </w:rPr>
        <w:t>.</w:t>
      </w:r>
      <w:r>
        <w:rPr>
          <w:rFonts w:eastAsia="宋体" w:hint="eastAsia"/>
          <w:color w:val="000000"/>
          <w:lang w:val="en-US" w:eastAsia="zh-CN"/>
        </w:rPr>
        <w:t xml:space="preserve"> If the NR V2X packet is dropped</w:t>
      </w:r>
      <w:r>
        <w:rPr>
          <w:rFonts w:eastAsia="宋体" w:hint="eastAsia"/>
          <w:color w:val="000000"/>
          <w:lang w:val="en-US" w:eastAsia="zh-CN"/>
        </w:rPr>
        <w:t xml:space="preserve">, </w:t>
      </w:r>
      <w:r>
        <w:rPr>
          <w:rFonts w:eastAsia="宋体" w:hint="eastAsia"/>
          <w:lang w:val="en-US" w:eastAsia="zh-CN"/>
        </w:rPr>
        <w:t xml:space="preserve">resource </w:t>
      </w:r>
      <w:r w:rsidR="008F7DEB">
        <w:rPr>
          <w:rFonts w:eastAsia="宋体"/>
          <w:lang w:val="en-US" w:eastAsia="zh-CN"/>
        </w:rPr>
        <w:t>reallocation</w:t>
      </w:r>
      <w:r>
        <w:rPr>
          <w:rFonts w:eastAsia="宋体" w:hint="eastAsia"/>
          <w:lang w:val="en-US" w:eastAsia="zh-CN"/>
        </w:rPr>
        <w:t xml:space="preserve"> or reselection can be performed</w:t>
      </w:r>
      <w:r>
        <w:rPr>
          <w:rFonts w:eastAsia="宋体" w:hint="eastAsia"/>
          <w:lang w:val="en-US" w:eastAsia="zh-CN"/>
        </w:rPr>
        <w:t xml:space="preserve"> to </w:t>
      </w:r>
      <w:r>
        <w:rPr>
          <w:rFonts w:eastAsia="宋体" w:hint="eastAsia"/>
          <w:lang w:val="en-US" w:eastAsia="zh-CN"/>
        </w:rPr>
        <w:t>remedy data los</w:t>
      </w:r>
      <w:r>
        <w:rPr>
          <w:rFonts w:eastAsia="宋体" w:hint="eastAsia"/>
          <w:lang w:val="en-US" w:eastAsia="zh-CN"/>
        </w:rPr>
        <w:t>s</w:t>
      </w:r>
      <w:r>
        <w:rPr>
          <w:rFonts w:eastAsia="宋体" w:hint="eastAsia"/>
          <w:lang w:val="en-US" w:eastAsia="zh-CN"/>
        </w:rPr>
        <w:t>.</w:t>
      </w:r>
      <w:r>
        <w:rPr>
          <w:rFonts w:eastAsia="宋体" w:hint="eastAsia"/>
          <w:lang w:val="en-US" w:eastAsia="zh-CN"/>
        </w:rPr>
        <w:t xml:space="preserve"> </w:t>
      </w:r>
      <w:r w:rsidR="008F7DEB">
        <w:rPr>
          <w:rFonts w:eastAsia="宋体"/>
          <w:lang w:val="en-US" w:eastAsia="zh-CN"/>
        </w:rPr>
        <w:t>Any</w:t>
      </w:r>
      <w:r>
        <w:rPr>
          <w:rFonts w:eastAsia="宋体" w:hint="eastAsia"/>
          <w:color w:val="000000"/>
          <w:lang w:val="en-US" w:eastAsia="zh-CN"/>
        </w:rPr>
        <w:t xml:space="preserve"> additional </w:t>
      </w:r>
      <w:r w:rsidR="008F7DEB">
        <w:rPr>
          <w:rFonts w:eastAsia="宋体"/>
          <w:color w:val="000000"/>
          <w:lang w:val="en-US" w:eastAsia="zh-CN"/>
        </w:rPr>
        <w:t>specification</w:t>
      </w:r>
      <w:r>
        <w:rPr>
          <w:rFonts w:eastAsia="宋体" w:hint="eastAsia"/>
          <w:color w:val="000000"/>
          <w:lang w:val="en-US" w:eastAsia="zh-CN"/>
        </w:rPr>
        <w:t xml:space="preserve"> </w:t>
      </w:r>
      <w:r w:rsidR="008F7DEB">
        <w:rPr>
          <w:rFonts w:eastAsia="宋体"/>
          <w:color w:val="000000"/>
          <w:lang w:val="en-US" w:eastAsia="zh-CN"/>
        </w:rPr>
        <w:t>changes</w:t>
      </w:r>
      <w:r>
        <w:rPr>
          <w:rFonts w:eastAsia="宋体" w:hint="eastAsia"/>
          <w:color w:val="000000"/>
          <w:lang w:val="en-US" w:eastAsia="zh-CN"/>
        </w:rPr>
        <w:t xml:space="preserve"> is not </w:t>
      </w:r>
      <w:r w:rsidR="008F7DEB">
        <w:rPr>
          <w:rFonts w:eastAsia="宋体"/>
          <w:color w:val="000000"/>
          <w:lang w:val="en-US" w:eastAsia="zh-CN"/>
        </w:rPr>
        <w:t>preferred</w:t>
      </w:r>
      <w:r>
        <w:rPr>
          <w:rFonts w:eastAsia="宋体" w:hint="eastAsia"/>
          <w:color w:val="000000"/>
          <w:lang w:val="en-US" w:eastAsia="zh-CN"/>
        </w:rPr>
        <w:t xml:space="preserve"> for LTE V2X specification </w:t>
      </w:r>
      <w:r w:rsidR="008F7DEB">
        <w:rPr>
          <w:rFonts w:eastAsia="宋体"/>
          <w:color w:val="000000"/>
          <w:lang w:val="en-US" w:eastAsia="zh-CN"/>
        </w:rPr>
        <w:t>which has been frozen. From</w:t>
      </w:r>
      <w:r>
        <w:rPr>
          <w:rFonts w:eastAsia="宋体" w:hint="eastAsia"/>
          <w:color w:val="000000"/>
          <w:lang w:val="en-US" w:eastAsia="zh-CN"/>
        </w:rPr>
        <w:t xml:space="preserve"> this</w:t>
      </w:r>
      <w:r w:rsidR="008F7DEB">
        <w:rPr>
          <w:rFonts w:eastAsia="宋体"/>
          <w:color w:val="000000"/>
          <w:lang w:val="en-US" w:eastAsia="zh-CN"/>
        </w:rPr>
        <w:t xml:space="preserve"> aspect</w:t>
      </w:r>
      <w:r>
        <w:rPr>
          <w:rFonts w:eastAsia="宋体" w:hint="eastAsia"/>
          <w:color w:val="000000"/>
          <w:lang w:val="en-US" w:eastAsia="zh-CN"/>
        </w:rPr>
        <w:t xml:space="preserve">, </w:t>
      </w:r>
      <w:r>
        <w:rPr>
          <w:rFonts w:eastAsia="宋体" w:hint="eastAsia"/>
          <w:lang w:val="en-US" w:eastAsia="zh-CN"/>
        </w:rPr>
        <w:t>f</w:t>
      </w:r>
      <w:r>
        <w:t>or short time scale TDM solutions</w:t>
      </w:r>
      <w:r>
        <w:rPr>
          <w:rFonts w:eastAsia="宋体" w:hint="eastAsia"/>
          <w:lang w:val="en-US" w:eastAsia="zh-CN"/>
        </w:rPr>
        <w:t xml:space="preserve">, the higher priority should be considered </w:t>
      </w:r>
      <w:r w:rsidR="008F7DEB">
        <w:rPr>
          <w:rFonts w:eastAsia="宋体"/>
          <w:lang w:val="en-US" w:eastAsia="zh-CN"/>
        </w:rPr>
        <w:t>for</w:t>
      </w:r>
      <w:r>
        <w:rPr>
          <w:rFonts w:eastAsia="宋体" w:hint="eastAsia"/>
          <w:lang w:val="en-US" w:eastAsia="zh-CN"/>
        </w:rPr>
        <w:t xml:space="preserve"> LTE sidelink transmission. If the NR side</w:t>
      </w:r>
      <w:r>
        <w:rPr>
          <w:rFonts w:eastAsia="宋体" w:hint="eastAsia"/>
          <w:lang w:val="en-US" w:eastAsia="zh-CN"/>
        </w:rPr>
        <w:t xml:space="preserve">link transmission </w:t>
      </w:r>
      <w:r>
        <w:rPr>
          <w:rFonts w:eastAsia="宋体"/>
          <w:lang w:val="en-US" w:eastAsia="zh-CN"/>
        </w:rPr>
        <w:t>collides</w:t>
      </w:r>
      <w:r>
        <w:rPr>
          <w:rFonts w:eastAsia="宋体" w:hint="eastAsia"/>
          <w:lang w:val="en-US" w:eastAsia="zh-CN"/>
        </w:rPr>
        <w:t xml:space="preserve"> with LTE sidelink transmission in time domain, the NR sidelink transmission should be dropped and resource reallocation or reselection should be performed for NR sidelink transmission.</w:t>
      </w:r>
    </w:p>
    <w:p w:rsidR="00D97356" w:rsidRDefault="00FA6A68">
      <w:pPr>
        <w:snapToGrid w:val="0"/>
        <w:spacing w:afterLines="50"/>
        <w:rPr>
          <w:b/>
          <w:bCs/>
          <w:i/>
          <w:iCs/>
          <w:lang w:val="en-US" w:eastAsia="zh-CN"/>
        </w:rPr>
      </w:pPr>
      <w:r>
        <w:rPr>
          <w:rFonts w:hint="eastAsia"/>
          <w:b/>
          <w:bCs/>
          <w:i/>
          <w:iCs/>
          <w:lang w:val="en-US" w:eastAsia="zh-CN"/>
        </w:rPr>
        <w:t>Proposal 1: RAN1</w:t>
      </w:r>
      <w:r>
        <w:rPr>
          <w:b/>
          <w:bCs/>
          <w:i/>
          <w:iCs/>
          <w:lang w:val="en-US" w:eastAsia="zh-CN"/>
        </w:rPr>
        <w:t xml:space="preserve"> LTE specification should </w:t>
      </w:r>
      <w:r>
        <w:rPr>
          <w:rFonts w:hint="eastAsia"/>
          <w:b/>
          <w:bCs/>
          <w:i/>
          <w:iCs/>
          <w:lang w:val="en-US" w:eastAsia="zh-CN"/>
        </w:rPr>
        <w:t xml:space="preserve">not </w:t>
      </w:r>
      <w:r>
        <w:rPr>
          <w:b/>
          <w:bCs/>
          <w:i/>
          <w:iCs/>
          <w:lang w:val="en-US" w:eastAsia="zh-CN"/>
        </w:rPr>
        <w:t>be affected to accommodate in-device co-existence</w:t>
      </w:r>
      <w:r>
        <w:rPr>
          <w:rFonts w:hint="eastAsia"/>
          <w:b/>
          <w:bCs/>
          <w:i/>
          <w:iCs/>
          <w:lang w:val="en-US" w:eastAsia="zh-CN"/>
        </w:rPr>
        <w:t xml:space="preserve">. </w:t>
      </w:r>
    </w:p>
    <w:p w:rsidR="00D97356" w:rsidRDefault="00FA6A68">
      <w:pPr>
        <w:snapToGrid w:val="0"/>
        <w:spacing w:afterLines="50"/>
        <w:rPr>
          <w:b/>
          <w:bCs/>
          <w:i/>
          <w:iCs/>
          <w:lang w:val="en-US" w:eastAsia="zh-CN"/>
        </w:rPr>
      </w:pPr>
      <w:r>
        <w:rPr>
          <w:rFonts w:hint="eastAsia"/>
          <w:b/>
          <w:bCs/>
          <w:i/>
          <w:iCs/>
          <w:lang w:val="en-US" w:eastAsia="zh-CN"/>
        </w:rPr>
        <w:lastRenderedPageBreak/>
        <w:t>Proposal 2</w:t>
      </w:r>
      <w:r>
        <w:rPr>
          <w:b/>
          <w:bCs/>
          <w:i/>
          <w:iCs/>
          <w:lang w:val="en-US" w:eastAsia="zh-CN"/>
        </w:rPr>
        <w:t xml:space="preserve">: </w:t>
      </w:r>
      <w:r>
        <w:rPr>
          <w:rFonts w:hint="eastAsia"/>
          <w:b/>
          <w:bCs/>
          <w:i/>
          <w:iCs/>
          <w:lang w:val="en-US" w:eastAsia="zh-CN"/>
        </w:rPr>
        <w:t>LTE sidelink transmission should be prioritized over NR sidelink transmission for</w:t>
      </w:r>
      <w:r>
        <w:rPr>
          <w:lang w:val="en-US" w:eastAsia="zh-CN"/>
        </w:rPr>
        <w:t xml:space="preserve"> </w:t>
      </w:r>
      <w:r>
        <w:rPr>
          <w:b/>
          <w:bCs/>
          <w:i/>
          <w:iCs/>
          <w:color w:val="000000"/>
        </w:rPr>
        <w:t>occurrence of Tx/Tx overlap</w:t>
      </w:r>
      <w:r>
        <w:rPr>
          <w:b/>
          <w:bCs/>
          <w:i/>
          <w:iCs/>
          <w:lang w:val="en-US" w:eastAsia="zh-CN"/>
        </w:rPr>
        <w:t>.</w:t>
      </w:r>
      <w:r>
        <w:rPr>
          <w:rFonts w:hint="eastAsia"/>
          <w:b/>
          <w:bCs/>
          <w:i/>
          <w:iCs/>
          <w:lang w:val="en-US" w:eastAsia="zh-CN"/>
        </w:rPr>
        <w:t xml:space="preserve"> </w:t>
      </w:r>
    </w:p>
    <w:p w:rsidR="00D97356" w:rsidRDefault="00FA6A68">
      <w:pPr>
        <w:snapToGrid w:val="0"/>
        <w:spacing w:afterLines="50"/>
        <w:rPr>
          <w:rFonts w:eastAsia="宋体"/>
          <w:lang w:val="en-US" w:eastAsia="zh-CN"/>
        </w:rPr>
      </w:pPr>
      <w:r>
        <w:rPr>
          <w:i/>
          <w:sz w:val="21"/>
          <w:szCs w:val="22"/>
          <w:u w:val="single"/>
          <w:lang w:eastAsia="zh-CN"/>
        </w:rPr>
        <w:t>Tx/</w:t>
      </w:r>
      <w:r>
        <w:rPr>
          <w:rFonts w:hint="eastAsia"/>
          <w:i/>
          <w:sz w:val="21"/>
          <w:szCs w:val="22"/>
          <w:u w:val="single"/>
          <w:lang w:val="en-US" w:eastAsia="zh-CN"/>
        </w:rPr>
        <w:t>R</w:t>
      </w:r>
      <w:r>
        <w:rPr>
          <w:i/>
          <w:sz w:val="21"/>
          <w:szCs w:val="22"/>
          <w:u w:val="single"/>
          <w:lang w:eastAsia="zh-CN"/>
        </w:rPr>
        <w:t>x overlap</w:t>
      </w:r>
    </w:p>
    <w:p w:rsidR="00D97356" w:rsidRDefault="00FA6A68">
      <w:pPr>
        <w:snapToGrid w:val="0"/>
        <w:spacing w:afterLines="50"/>
        <w:rPr>
          <w:lang w:val="en-US" w:eastAsia="zh-CN"/>
        </w:rPr>
      </w:pPr>
      <w:r>
        <w:rPr>
          <w:rFonts w:eastAsia="宋体" w:hint="eastAsia"/>
          <w:lang w:val="en-US" w:eastAsia="zh-CN"/>
        </w:rPr>
        <w:t xml:space="preserve">For the case of Tx/Rx overlap, if the </w:t>
      </w:r>
      <w:r>
        <w:rPr>
          <w:rFonts w:hint="eastAsia"/>
          <w:lang w:val="en-US" w:eastAsia="zh-CN"/>
        </w:rPr>
        <w:t xml:space="preserve"> priority of Rx operatio</w:t>
      </w:r>
      <w:r>
        <w:rPr>
          <w:rFonts w:hint="eastAsia"/>
          <w:lang w:val="en-US" w:eastAsia="zh-CN"/>
        </w:rPr>
        <w:t xml:space="preserve">n can be acquired by the UE. It is feasible to </w:t>
      </w:r>
      <w:r w:rsidR="008F7DEB">
        <w:rPr>
          <w:lang w:val="en-US" w:eastAsia="zh-CN"/>
        </w:rPr>
        <w:t>determine</w:t>
      </w:r>
      <w:r>
        <w:rPr>
          <w:rFonts w:hint="eastAsia"/>
          <w:lang w:val="en-US" w:eastAsia="zh-CN"/>
        </w:rPr>
        <w:t xml:space="preserve"> transmission or reception by compare the priorities between Rx and Tx. It should be also noted that the no impact would be caused to RAN1 LTE specification. Two options can be considered for this cas</w:t>
      </w:r>
      <w:r>
        <w:rPr>
          <w:rFonts w:hint="eastAsia"/>
          <w:lang w:val="en-US" w:eastAsia="zh-CN"/>
        </w:rPr>
        <w:t>e.</w:t>
      </w:r>
    </w:p>
    <w:p w:rsidR="00D97356" w:rsidRDefault="00FA6A68">
      <w:pPr>
        <w:numPr>
          <w:ilvl w:val="0"/>
          <w:numId w:val="5"/>
        </w:numPr>
        <w:snapToGrid w:val="0"/>
        <w:spacing w:afterLines="50"/>
        <w:rPr>
          <w:lang w:val="en-US" w:eastAsia="zh-CN"/>
        </w:rPr>
      </w:pPr>
      <w:r>
        <w:rPr>
          <w:rFonts w:hint="eastAsia"/>
          <w:lang w:val="en-US" w:eastAsia="zh-CN"/>
        </w:rPr>
        <w:t>Option 1</w:t>
      </w:r>
    </w:p>
    <w:p w:rsidR="00D97356" w:rsidRDefault="00FA6A68">
      <w:pPr>
        <w:snapToGrid w:val="0"/>
        <w:spacing w:afterLines="50"/>
        <w:rPr>
          <w:lang w:val="en-US" w:eastAsia="zh-CN"/>
        </w:rPr>
      </w:pPr>
      <w:r>
        <w:rPr>
          <w:rFonts w:hint="eastAsia"/>
          <w:lang w:val="en-US" w:eastAsia="zh-CN"/>
        </w:rPr>
        <w:t>If LTE V2X Tx and NR V2X Rx overlaps, the UE shall perform LTE V2X Tx. If NR V2X Tx and LTE V2X Rx overlaps and the priority of Rx is available, the UE shall perform NR V2X Tx when the priority of NR V2X Tx is higher than the priority of LTE V2</w:t>
      </w:r>
      <w:r>
        <w:rPr>
          <w:rFonts w:hint="eastAsia"/>
          <w:lang w:val="en-US" w:eastAsia="zh-CN"/>
        </w:rPr>
        <w:t xml:space="preserve">X Rx. In order to make the priority level of NR V2X can be comparable with that of LTE V2X, the mapping of priority values between NR V2X and LTE V2X should be defined. </w:t>
      </w:r>
    </w:p>
    <w:p w:rsidR="00D97356" w:rsidRDefault="00FA6A68">
      <w:pPr>
        <w:numPr>
          <w:ilvl w:val="0"/>
          <w:numId w:val="5"/>
        </w:numPr>
        <w:snapToGrid w:val="0"/>
        <w:spacing w:afterLines="50"/>
        <w:rPr>
          <w:lang w:val="en-US" w:eastAsia="zh-CN"/>
        </w:rPr>
      </w:pPr>
      <w:r>
        <w:rPr>
          <w:sz w:val="21"/>
          <w:szCs w:val="22"/>
          <w:lang w:val="en-US" w:eastAsia="zh-CN"/>
        </w:rPr>
        <w:t xml:space="preserve">Option </w:t>
      </w:r>
      <w:r>
        <w:rPr>
          <w:rFonts w:hint="eastAsia"/>
          <w:lang w:val="en-US" w:eastAsia="zh-CN"/>
        </w:rPr>
        <w:t>2</w:t>
      </w:r>
    </w:p>
    <w:p w:rsidR="00D97356" w:rsidRDefault="00FA6A68">
      <w:pPr>
        <w:snapToGrid w:val="0"/>
        <w:spacing w:afterLines="50"/>
        <w:rPr>
          <w:lang w:val="en-US" w:eastAsia="zh-CN"/>
        </w:rPr>
      </w:pPr>
      <w:r>
        <w:rPr>
          <w:rFonts w:hint="eastAsia"/>
          <w:lang w:val="en-US" w:eastAsia="zh-CN"/>
        </w:rPr>
        <w:t>Whether LTE V2X Tx and NR V2X Rx overlapping or NR V2X Tx and LTE V2X Rx over</w:t>
      </w:r>
      <w:r>
        <w:rPr>
          <w:rFonts w:hint="eastAsia"/>
          <w:lang w:val="en-US" w:eastAsia="zh-CN"/>
        </w:rPr>
        <w:t>lapping, the UE shall perform Tx operation in the overlapping resources in time domain.</w:t>
      </w:r>
    </w:p>
    <w:p w:rsidR="00D97356" w:rsidRDefault="00FA6A68">
      <w:pPr>
        <w:snapToGrid w:val="0"/>
        <w:spacing w:afterLines="50"/>
        <w:rPr>
          <w:rFonts w:eastAsia="宋体"/>
          <w:lang w:val="en-US" w:eastAsia="zh-CN"/>
        </w:rPr>
      </w:pPr>
      <w:r>
        <w:rPr>
          <w:rFonts w:eastAsia="宋体" w:hint="eastAsia"/>
          <w:lang w:val="en-US" w:eastAsia="zh-CN"/>
        </w:rPr>
        <w:t>Considering that no impact should be caused to RAN1 LTE specification and the UE can perform retransmission for NR V2X by resource reallocaiton or reselection after bei</w:t>
      </w:r>
      <w:r>
        <w:rPr>
          <w:rFonts w:eastAsia="宋体" w:hint="eastAsia"/>
          <w:lang w:val="en-US" w:eastAsia="zh-CN"/>
        </w:rPr>
        <w:t xml:space="preserve">ng dropped. Option 1 shall be proposed. </w:t>
      </w:r>
    </w:p>
    <w:p w:rsidR="00D97356" w:rsidRDefault="00FA6A68">
      <w:pPr>
        <w:snapToGrid w:val="0"/>
        <w:spacing w:afterLines="50"/>
        <w:rPr>
          <w:b/>
          <w:bCs/>
          <w:i/>
          <w:iCs/>
          <w:lang w:val="en-US" w:eastAsia="zh-CN"/>
        </w:rPr>
      </w:pPr>
      <w:r>
        <w:rPr>
          <w:b/>
          <w:bCs/>
          <w:i/>
          <w:iCs/>
          <w:lang w:val="en-US" w:eastAsia="zh-CN"/>
        </w:rPr>
        <w:t xml:space="preserve">Proposal 3: </w:t>
      </w:r>
      <w:r>
        <w:rPr>
          <w:rFonts w:hint="eastAsia"/>
          <w:b/>
          <w:bCs/>
          <w:i/>
          <w:iCs/>
          <w:lang w:val="en-US" w:eastAsia="zh-CN"/>
        </w:rPr>
        <w:t xml:space="preserve"> For Tx/Rx overlap, </w:t>
      </w:r>
    </w:p>
    <w:p w:rsidR="00D97356" w:rsidRDefault="00FA6A68">
      <w:pPr>
        <w:snapToGrid w:val="0"/>
        <w:spacing w:afterLines="50"/>
        <w:ind w:leftChars="100" w:left="200"/>
        <w:rPr>
          <w:b/>
          <w:bCs/>
          <w:i/>
          <w:iCs/>
          <w:lang w:val="en-US" w:eastAsia="zh-CN"/>
        </w:rPr>
      </w:pPr>
      <w:r>
        <w:rPr>
          <w:rFonts w:hint="eastAsia"/>
          <w:b/>
          <w:bCs/>
          <w:i/>
          <w:iCs/>
          <w:lang w:val="en-US" w:eastAsia="zh-CN"/>
        </w:rPr>
        <w:t xml:space="preserve">- If </w:t>
      </w:r>
      <w:r>
        <w:rPr>
          <w:b/>
          <w:bCs/>
          <w:i/>
          <w:iCs/>
          <w:lang w:val="en-US" w:eastAsia="zh-CN"/>
        </w:rPr>
        <w:t xml:space="preserve">TX is </w:t>
      </w:r>
      <w:r>
        <w:rPr>
          <w:rFonts w:hint="eastAsia"/>
          <w:b/>
          <w:bCs/>
          <w:i/>
          <w:iCs/>
          <w:lang w:val="en-US" w:eastAsia="zh-CN"/>
        </w:rPr>
        <w:t>LTE V2X</w:t>
      </w:r>
      <w:r>
        <w:rPr>
          <w:rFonts w:hint="eastAsia"/>
          <w:b/>
          <w:bCs/>
          <w:i/>
          <w:iCs/>
          <w:lang w:val="en-US" w:eastAsia="zh-CN"/>
        </w:rPr>
        <w:t>, the UE shall perform Tx operation</w:t>
      </w:r>
    </w:p>
    <w:p w:rsidR="00D97356" w:rsidRDefault="00FA6A68">
      <w:pPr>
        <w:snapToGrid w:val="0"/>
        <w:spacing w:afterLines="50"/>
        <w:ind w:leftChars="100" w:left="200"/>
        <w:rPr>
          <w:b/>
          <w:bCs/>
          <w:i/>
          <w:iCs/>
          <w:lang w:val="en-US" w:eastAsia="zh-CN"/>
        </w:rPr>
      </w:pPr>
      <w:r>
        <w:rPr>
          <w:rFonts w:hint="eastAsia"/>
          <w:b/>
          <w:bCs/>
          <w:i/>
          <w:iCs/>
          <w:lang w:val="en-US" w:eastAsia="zh-CN"/>
        </w:rPr>
        <w:t xml:space="preserve">- If </w:t>
      </w:r>
      <w:r>
        <w:rPr>
          <w:b/>
          <w:bCs/>
          <w:i/>
          <w:iCs/>
          <w:lang w:val="en-US" w:eastAsia="zh-CN"/>
        </w:rPr>
        <w:t xml:space="preserve">TX is </w:t>
      </w:r>
      <w:r>
        <w:rPr>
          <w:rFonts w:hint="eastAsia"/>
          <w:b/>
          <w:bCs/>
          <w:i/>
          <w:iCs/>
          <w:lang w:val="en-US" w:eastAsia="zh-CN"/>
        </w:rPr>
        <w:t xml:space="preserve">NR V2X, the UE shall perform Tx or Rx operation by compare the </w:t>
      </w:r>
      <w:r>
        <w:rPr>
          <w:b/>
          <w:bCs/>
          <w:i/>
          <w:iCs/>
          <w:lang w:val="en-US" w:eastAsia="zh-CN"/>
        </w:rPr>
        <w:t xml:space="preserve">priority of NR V2X Tx and the priority of LTE V2X </w:t>
      </w:r>
      <w:r>
        <w:rPr>
          <w:b/>
          <w:bCs/>
          <w:i/>
          <w:iCs/>
          <w:lang w:val="en-US" w:eastAsia="zh-CN"/>
        </w:rPr>
        <w:t>Rx.</w:t>
      </w:r>
    </w:p>
    <w:p w:rsidR="00D97356" w:rsidRDefault="00FA6A68">
      <w:pPr>
        <w:snapToGrid w:val="0"/>
        <w:spacing w:afterLines="50"/>
        <w:rPr>
          <w:rFonts w:eastAsia="宋体"/>
          <w:lang w:val="en-US" w:eastAsia="zh-CN"/>
        </w:rPr>
      </w:pPr>
      <w:r>
        <w:rPr>
          <w:rFonts w:hint="eastAsia"/>
          <w:b/>
          <w:bCs/>
          <w:i/>
          <w:iCs/>
          <w:lang w:val="en-US" w:eastAsia="zh-CN"/>
        </w:rPr>
        <w:t>Proposal 4: The mapping of priority values between NR V2X and LTE V2X should be defined.</w:t>
      </w:r>
    </w:p>
    <w:p w:rsidR="00D97356" w:rsidRDefault="00FA6A68">
      <w:pPr>
        <w:pStyle w:val="2"/>
      </w:pPr>
      <w:r>
        <w:rPr>
          <w:rFonts w:hint="eastAsia"/>
        </w:rPr>
        <w:t>FDM solutions</w:t>
      </w:r>
    </w:p>
    <w:p w:rsidR="00D97356" w:rsidRDefault="00FA6A68">
      <w:pPr>
        <w:snapToGrid w:val="0"/>
        <w:spacing w:afterLines="50"/>
        <w:rPr>
          <w:rFonts w:eastAsia="宋体"/>
          <w:lang w:val="en-US" w:eastAsia="zh-CN"/>
        </w:rPr>
      </w:pPr>
      <w:r>
        <w:rPr>
          <w:rFonts w:hint="eastAsia"/>
          <w:lang w:val="en-US" w:eastAsia="zh-CN"/>
        </w:rPr>
        <w:t>In Rel-15 NR, dynamic power sharing is included in power control for EN-DC</w:t>
      </w:r>
      <w:r>
        <w:rPr>
          <w:rFonts w:hint="eastAsia"/>
          <w:lang w:val="en-US" w:eastAsia="zh-CN"/>
        </w:rPr>
        <w:t xml:space="preserve"> and t</w:t>
      </w:r>
      <w:r>
        <w:rPr>
          <w:rFonts w:hint="eastAsia"/>
          <w:lang w:val="en-US" w:eastAsia="zh-CN"/>
        </w:rPr>
        <w:t xml:space="preserve">he UE should have a </w:t>
      </w:r>
      <w:r>
        <w:rPr>
          <w:lang w:eastAsia="ja-JP"/>
        </w:rPr>
        <w:t>capability for dynamic power sharing</w:t>
      </w:r>
      <w:r>
        <w:rPr>
          <w:lang w:val="en-US" w:eastAsia="ja-JP"/>
        </w:rPr>
        <w:t xml:space="preserve"> between E-U</w:t>
      </w:r>
      <w:r>
        <w:rPr>
          <w:lang w:val="en-US" w:eastAsia="ja-JP"/>
        </w:rPr>
        <w:t>TRA and NR</w:t>
      </w:r>
      <w:r>
        <w:rPr>
          <w:rFonts w:eastAsia="宋体" w:hint="eastAsia"/>
          <w:lang w:val="en-US" w:eastAsia="zh-CN"/>
        </w:rPr>
        <w:t xml:space="preserve">. </w:t>
      </w:r>
      <w:r>
        <w:rPr>
          <w:rFonts w:eastAsia="宋体" w:hint="eastAsia"/>
          <w:lang w:val="en-US" w:eastAsia="zh-CN"/>
        </w:rPr>
        <w:t>From the point of transmitter, s</w:t>
      </w:r>
      <w:r>
        <w:rPr>
          <w:rFonts w:eastAsia="宋体" w:hint="eastAsia"/>
          <w:lang w:val="en-US" w:eastAsia="zh-CN"/>
        </w:rPr>
        <w:t>idelink</w:t>
      </w:r>
      <w:r>
        <w:rPr>
          <w:rFonts w:eastAsia="宋体" w:hint="eastAsia"/>
          <w:lang w:val="en-US" w:eastAsia="zh-CN"/>
        </w:rPr>
        <w:t xml:space="preserve"> transmission </w:t>
      </w:r>
      <w:r>
        <w:rPr>
          <w:rFonts w:eastAsia="宋体" w:hint="eastAsia"/>
          <w:lang w:val="en-US" w:eastAsia="zh-CN"/>
        </w:rPr>
        <w:t xml:space="preserve">is similar </w:t>
      </w:r>
      <w:r>
        <w:rPr>
          <w:rFonts w:eastAsia="宋体" w:hint="eastAsia"/>
          <w:lang w:val="en-US" w:eastAsia="zh-CN"/>
        </w:rPr>
        <w:t>to UL transmission</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Thus, f</w:t>
      </w:r>
      <w:r>
        <w:rPr>
          <w:rFonts w:hint="eastAsia"/>
          <w:lang w:val="en-US" w:eastAsia="zh-CN"/>
        </w:rPr>
        <w:t>or inter-band FDM solutions in coexistence between LTE V2X and NR V2X in-device, the solution of dynamic power sharing should also depend</w:t>
      </w:r>
      <w:r>
        <w:rPr>
          <w:lang w:val="en-US" w:eastAsia="zh-CN"/>
        </w:rPr>
        <w:t>s</w:t>
      </w:r>
      <w:r>
        <w:rPr>
          <w:rFonts w:hint="eastAsia"/>
          <w:lang w:val="en-US" w:eastAsia="zh-CN"/>
        </w:rPr>
        <w:t xml:space="preserve"> on UE capability</w:t>
      </w:r>
      <w:r>
        <w:rPr>
          <w:lang w:val="en-US" w:eastAsia="zh-CN"/>
        </w:rPr>
        <w:t>.</w:t>
      </w:r>
      <w:r>
        <w:rPr>
          <w:rFonts w:hint="eastAsia"/>
          <w:lang w:val="en-US" w:eastAsia="zh-CN"/>
        </w:rPr>
        <w:t xml:space="preserve"> </w:t>
      </w:r>
      <w:r>
        <w:rPr>
          <w:rFonts w:hint="eastAsia"/>
          <w:lang w:val="en-US" w:eastAsia="zh-CN"/>
        </w:rPr>
        <w:t xml:space="preserve">On the other hand, </w:t>
      </w:r>
      <w:r>
        <w:rPr>
          <w:color w:val="000000"/>
        </w:rPr>
        <w:t>information exchange between LTE and NR sidelinks within the UE</w:t>
      </w:r>
      <w:r>
        <w:rPr>
          <w:rFonts w:eastAsia="宋体" w:hint="eastAsia"/>
          <w:color w:val="000000"/>
          <w:lang w:val="en-US" w:eastAsia="zh-CN"/>
        </w:rPr>
        <w:t xml:space="preserve"> should be required.</w:t>
      </w:r>
    </w:p>
    <w:p w:rsidR="00D97356" w:rsidRDefault="00FA6A68">
      <w:pPr>
        <w:snapToGrid w:val="0"/>
        <w:spacing w:afterLines="50"/>
        <w:rPr>
          <w:lang w:val="en-US" w:eastAsia="zh-CN"/>
        </w:rPr>
      </w:pPr>
      <w:r>
        <w:rPr>
          <w:rFonts w:hint="eastAsia"/>
          <w:lang w:val="en-US" w:eastAsia="zh-CN"/>
        </w:rPr>
        <w:t xml:space="preserve">As the discussion in TDM solutions, impact to RAN1 LTE specification should not be supported. In power control for EN-DC in Rel-15, if the sum of the power of LTE transmission and the power of NR transmission is larger than the </w:t>
      </w:r>
      <w:r>
        <w:t xml:space="preserve">configured </w:t>
      </w:r>
      <w:r>
        <w:rPr>
          <w:rFonts w:hint="eastAsia"/>
          <w:lang w:eastAsia="zh-CN"/>
        </w:rPr>
        <w:t xml:space="preserve">maximum </w:t>
      </w:r>
      <w:r>
        <w:rPr>
          <w:lang w:val="en-US" w:eastAsia="zh-CN"/>
        </w:rPr>
        <w:t>transmiss</w:t>
      </w:r>
      <w:r>
        <w:rPr>
          <w:lang w:val="en-US" w:eastAsia="zh-CN"/>
        </w:rPr>
        <w:t>ion</w:t>
      </w:r>
      <w:r>
        <w:t xml:space="preserve"> power </w:t>
      </w:r>
      <w:r>
        <w:rPr>
          <w:lang w:val="en-US"/>
        </w:rPr>
        <w:t>for EN-DC operation</w:t>
      </w:r>
      <w:r>
        <w:rPr>
          <w:rFonts w:eastAsia="宋体" w:hint="eastAsia"/>
          <w:lang w:val="en-US" w:eastAsia="zh-CN"/>
        </w:rPr>
        <w:t xml:space="preserve">, </w:t>
      </w:r>
      <w:r>
        <w:rPr>
          <w:rFonts w:eastAsia="宋体" w:hint="eastAsia"/>
          <w:color w:val="000000"/>
          <w:lang w:val="en-US" w:eastAsia="zh-CN"/>
        </w:rPr>
        <w:t xml:space="preserve">LTE transmission will be prioritized over NR transmission. This principle can be reused in the </w:t>
      </w:r>
      <w:r>
        <w:rPr>
          <w:rFonts w:hint="eastAsia"/>
          <w:lang w:val="en-US" w:eastAsia="zh-CN"/>
        </w:rPr>
        <w:t>dynamic power sharing for</w:t>
      </w:r>
      <w:r>
        <w:rPr>
          <w:rFonts w:eastAsia="宋体" w:hint="eastAsia"/>
          <w:color w:val="000000"/>
          <w:lang w:val="en-US" w:eastAsia="zh-CN"/>
        </w:rPr>
        <w:t xml:space="preserve"> </w:t>
      </w:r>
      <w:r>
        <w:t>in-device</w:t>
      </w:r>
      <w:r>
        <w:rPr>
          <w:rFonts w:eastAsia="宋体" w:hint="eastAsia"/>
          <w:lang w:val="en-US" w:eastAsia="zh-CN"/>
        </w:rPr>
        <w:t xml:space="preserve"> </w:t>
      </w:r>
      <w:r>
        <w:rPr>
          <w:rFonts w:eastAsia="宋体" w:hint="eastAsia"/>
          <w:color w:val="000000"/>
          <w:lang w:val="en-US" w:eastAsia="zh-CN"/>
        </w:rPr>
        <w:t xml:space="preserve">coexistence between LTE and NR sidelinks. In this way, </w:t>
      </w:r>
      <w:r>
        <w:rPr>
          <w:rFonts w:hint="eastAsia"/>
          <w:lang w:val="en-US" w:eastAsia="zh-CN"/>
        </w:rPr>
        <w:t>for the UE supports dynamic power shari</w:t>
      </w:r>
      <w:r>
        <w:rPr>
          <w:rFonts w:hint="eastAsia"/>
          <w:lang w:val="en-US" w:eastAsia="zh-CN"/>
        </w:rPr>
        <w:t xml:space="preserve">ng, LTE transmission has higher priority to use </w:t>
      </w:r>
      <w:r w:rsidR="008F7DEB">
        <w:rPr>
          <w:lang w:val="en-US" w:eastAsia="zh-CN"/>
        </w:rPr>
        <w:t>transmission</w:t>
      </w:r>
      <w:r>
        <w:rPr>
          <w:rFonts w:hint="eastAsia"/>
          <w:lang w:val="en-US" w:eastAsia="zh-CN"/>
        </w:rPr>
        <w:t xml:space="preserve"> power. In other word, if the total transmission power exceeds the maximum power supported by the UE, the NR sidelink transmission power should be reduced, while LTE sidelink transmission should no</w:t>
      </w:r>
      <w:r>
        <w:rPr>
          <w:rFonts w:hint="eastAsia"/>
          <w:lang w:val="en-US" w:eastAsia="zh-CN"/>
        </w:rPr>
        <w:t>t need to adjust transmission power.</w:t>
      </w:r>
    </w:p>
    <w:p w:rsidR="00D97356" w:rsidRDefault="00FA6A68">
      <w:pPr>
        <w:snapToGrid w:val="0"/>
        <w:spacing w:afterLines="50"/>
        <w:rPr>
          <w:lang w:val="en-US" w:eastAsia="zh-CN"/>
        </w:rPr>
      </w:pPr>
      <w:r>
        <w:rPr>
          <w:b/>
          <w:bCs/>
          <w:i/>
          <w:iCs/>
          <w:lang w:val="en-US" w:eastAsia="zh-CN"/>
        </w:rPr>
        <w:t xml:space="preserve">Proposal </w:t>
      </w:r>
      <w:r>
        <w:rPr>
          <w:rFonts w:hint="eastAsia"/>
          <w:b/>
          <w:bCs/>
          <w:i/>
          <w:iCs/>
          <w:lang w:val="en-US" w:eastAsia="zh-CN"/>
        </w:rPr>
        <w:t>5</w:t>
      </w:r>
      <w:r>
        <w:rPr>
          <w:b/>
          <w:bCs/>
          <w:i/>
          <w:iCs/>
          <w:lang w:val="en-US" w:eastAsia="zh-CN"/>
        </w:rPr>
        <w:t xml:space="preserve">: </w:t>
      </w:r>
      <w:r>
        <w:rPr>
          <w:rFonts w:hint="eastAsia"/>
          <w:b/>
          <w:bCs/>
          <w:i/>
          <w:iCs/>
          <w:lang w:val="en-US" w:eastAsia="zh-CN"/>
        </w:rPr>
        <w:t>If</w:t>
      </w:r>
      <w:r>
        <w:t xml:space="preserve"> </w:t>
      </w:r>
      <w:r>
        <w:rPr>
          <w:b/>
          <w:bCs/>
          <w:i/>
          <w:iCs/>
        </w:rPr>
        <w:t xml:space="preserve">dynamic power sharing </w:t>
      </w:r>
      <w:r>
        <w:rPr>
          <w:rFonts w:eastAsia="宋体" w:hint="eastAsia"/>
          <w:b/>
          <w:bCs/>
          <w:i/>
          <w:iCs/>
          <w:lang w:val="en-US" w:eastAsia="zh-CN"/>
        </w:rPr>
        <w:t xml:space="preserve">is supported </w:t>
      </w:r>
      <w:r>
        <w:rPr>
          <w:b/>
          <w:bCs/>
          <w:i/>
          <w:iCs/>
        </w:rPr>
        <w:t>between carriers</w:t>
      </w:r>
      <w:r>
        <w:rPr>
          <w:rFonts w:eastAsia="宋体" w:hint="eastAsia"/>
          <w:b/>
          <w:bCs/>
          <w:i/>
          <w:iCs/>
          <w:lang w:val="en-US" w:eastAsia="zh-CN"/>
        </w:rPr>
        <w:t xml:space="preserve"> </w:t>
      </w:r>
      <w:r w:rsidR="00832974">
        <w:rPr>
          <w:rFonts w:eastAsia="宋体"/>
          <w:b/>
          <w:bCs/>
          <w:i/>
          <w:iCs/>
          <w:lang w:val="en-US" w:eastAsia="zh-CN"/>
        </w:rPr>
        <w:t>for</w:t>
      </w:r>
      <w:bookmarkStart w:id="1" w:name="_GoBack"/>
      <w:bookmarkEnd w:id="1"/>
      <w:r>
        <w:rPr>
          <w:rFonts w:eastAsia="宋体" w:hint="eastAsia"/>
          <w:b/>
          <w:bCs/>
          <w:i/>
          <w:iCs/>
          <w:lang w:val="en-US" w:eastAsia="zh-CN"/>
        </w:rPr>
        <w:t xml:space="preserve"> </w:t>
      </w:r>
      <w:r>
        <w:rPr>
          <w:rFonts w:eastAsia="等线"/>
          <w:b/>
          <w:bCs/>
          <w:i/>
          <w:iCs/>
          <w:lang w:eastAsia="zh-CN"/>
        </w:rPr>
        <w:t>Tx/Tx coexistence</w:t>
      </w:r>
      <w:r>
        <w:rPr>
          <w:rFonts w:eastAsia="宋体"/>
          <w:b/>
          <w:bCs/>
          <w:i/>
          <w:iCs/>
          <w:lang w:val="en-US" w:eastAsia="zh-CN"/>
        </w:rPr>
        <w:t xml:space="preserve">, only NR sidelink transmission power should be adjusted if </w:t>
      </w:r>
      <w:r>
        <w:rPr>
          <w:b/>
          <w:bCs/>
          <w:i/>
          <w:iCs/>
          <w:lang w:val="en-US" w:eastAsia="zh-CN"/>
        </w:rPr>
        <w:t xml:space="preserve">the total transmission power exceeds the maximum power supported by </w:t>
      </w:r>
      <w:r>
        <w:rPr>
          <w:b/>
          <w:bCs/>
          <w:i/>
          <w:iCs/>
          <w:lang w:val="en-US" w:eastAsia="zh-CN"/>
        </w:rPr>
        <w:t>the UE.</w:t>
      </w:r>
    </w:p>
    <w:p w:rsidR="00D97356" w:rsidRDefault="00FA6A68">
      <w:pPr>
        <w:pStyle w:val="1"/>
        <w:spacing w:before="180"/>
        <w:rPr>
          <w:sz w:val="32"/>
          <w:szCs w:val="32"/>
          <w:lang w:val="en-US"/>
        </w:rPr>
      </w:pPr>
      <w:r>
        <w:rPr>
          <w:rFonts w:hint="eastAsia"/>
          <w:sz w:val="32"/>
          <w:szCs w:val="32"/>
          <w:lang w:val="en-US"/>
        </w:rPr>
        <w:lastRenderedPageBreak/>
        <w:t>Conclusion</w:t>
      </w:r>
    </w:p>
    <w:p w:rsidR="00D97356" w:rsidRDefault="00FA6A68">
      <w:pPr>
        <w:snapToGrid w:val="0"/>
        <w:spacing w:afterLines="50"/>
        <w:rPr>
          <w:rFonts w:eastAsia="宋体"/>
          <w:lang w:val="en-US" w:eastAsia="zh-CN"/>
        </w:rPr>
      </w:pPr>
      <w:r>
        <w:rPr>
          <w:rFonts w:eastAsia="宋体" w:hint="eastAsia"/>
          <w:lang w:val="en-US" w:eastAsia="zh-CN"/>
        </w:rPr>
        <w:t xml:space="preserve">This contribution </w:t>
      </w:r>
      <w:r>
        <w:rPr>
          <w:rFonts w:eastAsia="宋体"/>
          <w:lang w:val="en-US" w:eastAsia="zh-CN"/>
        </w:rPr>
        <w:t>concludes with</w:t>
      </w:r>
      <w:r>
        <w:rPr>
          <w:rFonts w:eastAsia="宋体" w:hint="eastAsia"/>
          <w:lang w:val="en-US" w:eastAsia="zh-CN"/>
        </w:rPr>
        <w:t xml:space="preserve"> the following observation and proposals:</w:t>
      </w:r>
    </w:p>
    <w:p w:rsidR="00D97356" w:rsidRDefault="00FA6A68">
      <w:pPr>
        <w:snapToGrid w:val="0"/>
        <w:spacing w:afterLines="50"/>
        <w:rPr>
          <w:b/>
          <w:bCs/>
          <w:i/>
          <w:iCs/>
          <w:lang w:val="en-US" w:eastAsia="zh-CN"/>
        </w:rPr>
      </w:pPr>
      <w:r>
        <w:rPr>
          <w:rFonts w:hint="eastAsia"/>
          <w:b/>
          <w:bCs/>
          <w:i/>
          <w:iCs/>
          <w:lang w:val="en-US" w:eastAsia="zh-CN"/>
        </w:rPr>
        <w:t>Proposal 1: RAN1</w:t>
      </w:r>
      <w:r>
        <w:rPr>
          <w:b/>
          <w:bCs/>
          <w:i/>
          <w:iCs/>
          <w:lang w:val="en-US" w:eastAsia="zh-CN"/>
        </w:rPr>
        <w:t xml:space="preserve"> LTE specification should </w:t>
      </w:r>
      <w:r>
        <w:rPr>
          <w:rFonts w:hint="eastAsia"/>
          <w:b/>
          <w:bCs/>
          <w:i/>
          <w:iCs/>
          <w:lang w:val="en-US" w:eastAsia="zh-CN"/>
        </w:rPr>
        <w:t xml:space="preserve">not </w:t>
      </w:r>
      <w:r>
        <w:rPr>
          <w:b/>
          <w:bCs/>
          <w:i/>
          <w:iCs/>
          <w:lang w:val="en-US" w:eastAsia="zh-CN"/>
        </w:rPr>
        <w:t>be affected to accommodate in-device co-existence</w:t>
      </w:r>
      <w:r>
        <w:rPr>
          <w:rFonts w:hint="eastAsia"/>
          <w:b/>
          <w:bCs/>
          <w:i/>
          <w:iCs/>
          <w:lang w:val="en-US" w:eastAsia="zh-CN"/>
        </w:rPr>
        <w:t xml:space="preserve">. </w:t>
      </w:r>
    </w:p>
    <w:p w:rsidR="00D97356" w:rsidRDefault="00FA6A68">
      <w:pPr>
        <w:snapToGrid w:val="0"/>
        <w:spacing w:afterLines="50"/>
        <w:rPr>
          <w:lang w:val="en-US" w:eastAsia="zh-CN"/>
        </w:rPr>
      </w:pPr>
      <w:r>
        <w:rPr>
          <w:rFonts w:hint="eastAsia"/>
          <w:b/>
          <w:bCs/>
          <w:i/>
          <w:iCs/>
          <w:lang w:val="en-US" w:eastAsia="zh-CN"/>
        </w:rPr>
        <w:t>Proposal 2</w:t>
      </w:r>
      <w:r>
        <w:rPr>
          <w:b/>
          <w:bCs/>
          <w:i/>
          <w:iCs/>
          <w:lang w:val="en-US" w:eastAsia="zh-CN"/>
        </w:rPr>
        <w:t xml:space="preserve">: </w:t>
      </w:r>
      <w:r>
        <w:rPr>
          <w:rFonts w:hint="eastAsia"/>
          <w:b/>
          <w:bCs/>
          <w:i/>
          <w:iCs/>
          <w:lang w:val="en-US" w:eastAsia="zh-CN"/>
        </w:rPr>
        <w:t>LTE sidelink transmission should be prioritized over</w:t>
      </w:r>
      <w:r>
        <w:rPr>
          <w:rFonts w:hint="eastAsia"/>
          <w:b/>
          <w:bCs/>
          <w:i/>
          <w:iCs/>
          <w:lang w:val="en-US" w:eastAsia="zh-CN"/>
        </w:rPr>
        <w:t xml:space="preserve"> NR sidelink transmission for</w:t>
      </w:r>
      <w:r>
        <w:rPr>
          <w:lang w:val="en-US" w:eastAsia="zh-CN"/>
        </w:rPr>
        <w:t xml:space="preserve"> </w:t>
      </w:r>
      <w:r>
        <w:rPr>
          <w:b/>
          <w:bCs/>
          <w:i/>
          <w:iCs/>
          <w:color w:val="000000"/>
        </w:rPr>
        <w:t>occurrence of Tx/Tx overlap</w:t>
      </w:r>
      <w:r>
        <w:rPr>
          <w:b/>
          <w:bCs/>
          <w:i/>
          <w:iCs/>
          <w:lang w:val="en-US" w:eastAsia="zh-CN"/>
        </w:rPr>
        <w:t>.</w:t>
      </w:r>
    </w:p>
    <w:p w:rsidR="00D97356" w:rsidRDefault="00FA6A68">
      <w:pPr>
        <w:snapToGrid w:val="0"/>
        <w:spacing w:afterLines="50"/>
        <w:rPr>
          <w:b/>
          <w:bCs/>
          <w:i/>
          <w:iCs/>
          <w:lang w:val="en-US" w:eastAsia="zh-CN"/>
        </w:rPr>
      </w:pPr>
      <w:r>
        <w:rPr>
          <w:b/>
          <w:bCs/>
          <w:i/>
          <w:iCs/>
          <w:lang w:val="en-US" w:eastAsia="zh-CN"/>
        </w:rPr>
        <w:t xml:space="preserve">Proposal 3: </w:t>
      </w:r>
      <w:r>
        <w:rPr>
          <w:rFonts w:hint="eastAsia"/>
          <w:b/>
          <w:bCs/>
          <w:i/>
          <w:iCs/>
          <w:lang w:val="en-US" w:eastAsia="zh-CN"/>
        </w:rPr>
        <w:t xml:space="preserve"> For Tx/Rx overlap, </w:t>
      </w:r>
    </w:p>
    <w:p w:rsidR="00D97356" w:rsidRDefault="00FA6A68">
      <w:pPr>
        <w:snapToGrid w:val="0"/>
        <w:spacing w:afterLines="50"/>
        <w:ind w:leftChars="100" w:left="200"/>
        <w:rPr>
          <w:b/>
          <w:bCs/>
          <w:i/>
          <w:iCs/>
          <w:lang w:val="en-US" w:eastAsia="zh-CN"/>
        </w:rPr>
      </w:pPr>
      <w:r>
        <w:rPr>
          <w:rFonts w:hint="eastAsia"/>
          <w:b/>
          <w:bCs/>
          <w:i/>
          <w:iCs/>
          <w:lang w:val="en-US" w:eastAsia="zh-CN"/>
        </w:rPr>
        <w:t xml:space="preserve">- If </w:t>
      </w:r>
      <w:r>
        <w:rPr>
          <w:b/>
          <w:bCs/>
          <w:i/>
          <w:iCs/>
          <w:lang w:val="en-US" w:eastAsia="zh-CN"/>
        </w:rPr>
        <w:t xml:space="preserve">TX is </w:t>
      </w:r>
      <w:r>
        <w:rPr>
          <w:rFonts w:hint="eastAsia"/>
          <w:b/>
          <w:bCs/>
          <w:i/>
          <w:iCs/>
          <w:lang w:val="en-US" w:eastAsia="zh-CN"/>
        </w:rPr>
        <w:t>LTE V2X, the UE shall perform Tx operation</w:t>
      </w:r>
    </w:p>
    <w:p w:rsidR="00D97356" w:rsidRDefault="00FA6A68">
      <w:pPr>
        <w:snapToGrid w:val="0"/>
        <w:spacing w:afterLines="50"/>
        <w:ind w:leftChars="100" w:left="200"/>
        <w:rPr>
          <w:b/>
          <w:bCs/>
          <w:i/>
          <w:iCs/>
          <w:lang w:val="en-US" w:eastAsia="zh-CN"/>
        </w:rPr>
      </w:pPr>
      <w:r>
        <w:rPr>
          <w:rFonts w:hint="eastAsia"/>
          <w:b/>
          <w:bCs/>
          <w:i/>
          <w:iCs/>
          <w:lang w:val="en-US" w:eastAsia="zh-CN"/>
        </w:rPr>
        <w:t xml:space="preserve">- If </w:t>
      </w:r>
      <w:r>
        <w:rPr>
          <w:b/>
          <w:bCs/>
          <w:i/>
          <w:iCs/>
          <w:lang w:val="en-US" w:eastAsia="zh-CN"/>
        </w:rPr>
        <w:t xml:space="preserve">TX is </w:t>
      </w:r>
      <w:r>
        <w:rPr>
          <w:rFonts w:hint="eastAsia"/>
          <w:b/>
          <w:bCs/>
          <w:i/>
          <w:iCs/>
          <w:lang w:val="en-US" w:eastAsia="zh-CN"/>
        </w:rPr>
        <w:t xml:space="preserve">NR V2X, the UE shall perform Tx or Rx operation by compare the </w:t>
      </w:r>
      <w:r>
        <w:rPr>
          <w:b/>
          <w:bCs/>
          <w:i/>
          <w:iCs/>
          <w:lang w:val="en-US" w:eastAsia="zh-CN"/>
        </w:rPr>
        <w:t xml:space="preserve">priority of NR V2X Tx and the </w:t>
      </w:r>
      <w:r>
        <w:rPr>
          <w:b/>
          <w:bCs/>
          <w:i/>
          <w:iCs/>
          <w:lang w:val="en-US" w:eastAsia="zh-CN"/>
        </w:rPr>
        <w:t>priority of LTE V2X Rx.</w:t>
      </w:r>
    </w:p>
    <w:p w:rsidR="00D97356" w:rsidRDefault="00FA6A68">
      <w:pPr>
        <w:snapToGrid w:val="0"/>
        <w:spacing w:afterLines="50"/>
        <w:rPr>
          <w:b/>
          <w:bCs/>
          <w:i/>
          <w:iCs/>
          <w:lang w:val="en-US" w:eastAsia="zh-CN"/>
        </w:rPr>
      </w:pPr>
      <w:r>
        <w:rPr>
          <w:rFonts w:hint="eastAsia"/>
          <w:b/>
          <w:bCs/>
          <w:i/>
          <w:iCs/>
          <w:lang w:val="en-US" w:eastAsia="zh-CN"/>
        </w:rPr>
        <w:t>Proposal 4: The mapping of priority values between NR V2X and LTE V2X should be defined.</w:t>
      </w:r>
    </w:p>
    <w:p w:rsidR="00D97356" w:rsidRDefault="00FA6A68">
      <w:pPr>
        <w:snapToGrid w:val="0"/>
        <w:spacing w:afterLines="50"/>
        <w:rPr>
          <w:b/>
          <w:bCs/>
          <w:i/>
          <w:iCs/>
          <w:lang w:val="en-US" w:eastAsia="zh-CN"/>
        </w:rPr>
      </w:pPr>
      <w:r>
        <w:rPr>
          <w:b/>
          <w:bCs/>
          <w:i/>
          <w:iCs/>
          <w:lang w:val="en-US" w:eastAsia="zh-CN"/>
        </w:rPr>
        <w:t xml:space="preserve">Proposal </w:t>
      </w:r>
      <w:r>
        <w:rPr>
          <w:rFonts w:hint="eastAsia"/>
          <w:b/>
          <w:bCs/>
          <w:i/>
          <w:iCs/>
          <w:lang w:val="en-US" w:eastAsia="zh-CN"/>
        </w:rPr>
        <w:t>5</w:t>
      </w:r>
      <w:r>
        <w:rPr>
          <w:b/>
          <w:bCs/>
          <w:i/>
          <w:iCs/>
          <w:lang w:val="en-US" w:eastAsia="zh-CN"/>
        </w:rPr>
        <w:t xml:space="preserve">: </w:t>
      </w:r>
      <w:r>
        <w:rPr>
          <w:rFonts w:hint="eastAsia"/>
          <w:b/>
          <w:bCs/>
          <w:i/>
          <w:iCs/>
          <w:lang w:val="en-US" w:eastAsia="zh-CN"/>
        </w:rPr>
        <w:t>If</w:t>
      </w:r>
      <w:r>
        <w:t xml:space="preserve"> </w:t>
      </w:r>
      <w:r>
        <w:rPr>
          <w:b/>
          <w:bCs/>
          <w:i/>
          <w:iCs/>
        </w:rPr>
        <w:t xml:space="preserve">dynamic power sharing </w:t>
      </w:r>
      <w:r>
        <w:rPr>
          <w:rFonts w:eastAsia="宋体" w:hint="eastAsia"/>
          <w:b/>
          <w:bCs/>
          <w:i/>
          <w:iCs/>
          <w:lang w:val="en-US" w:eastAsia="zh-CN"/>
        </w:rPr>
        <w:t xml:space="preserve">is supported </w:t>
      </w:r>
      <w:r>
        <w:rPr>
          <w:b/>
          <w:bCs/>
          <w:i/>
          <w:iCs/>
        </w:rPr>
        <w:t>between carriers</w:t>
      </w:r>
      <w:r>
        <w:rPr>
          <w:rFonts w:eastAsia="宋体" w:hint="eastAsia"/>
          <w:b/>
          <w:bCs/>
          <w:i/>
          <w:iCs/>
          <w:lang w:val="en-US" w:eastAsia="zh-CN"/>
        </w:rPr>
        <w:t xml:space="preserve"> </w:t>
      </w:r>
      <w:r w:rsidR="00832974">
        <w:rPr>
          <w:rFonts w:eastAsia="宋体"/>
          <w:b/>
          <w:bCs/>
          <w:i/>
          <w:iCs/>
          <w:lang w:val="en-US" w:eastAsia="zh-CN"/>
        </w:rPr>
        <w:t>for</w:t>
      </w:r>
      <w:r>
        <w:rPr>
          <w:rFonts w:eastAsia="宋体" w:hint="eastAsia"/>
          <w:b/>
          <w:bCs/>
          <w:i/>
          <w:iCs/>
          <w:lang w:val="en-US" w:eastAsia="zh-CN"/>
        </w:rPr>
        <w:t xml:space="preserve"> </w:t>
      </w:r>
      <w:r>
        <w:rPr>
          <w:rFonts w:eastAsia="等线"/>
          <w:b/>
          <w:bCs/>
          <w:i/>
          <w:iCs/>
          <w:lang w:eastAsia="zh-CN"/>
        </w:rPr>
        <w:t>Tx/Tx coexistence</w:t>
      </w:r>
      <w:r>
        <w:rPr>
          <w:rFonts w:eastAsia="宋体"/>
          <w:b/>
          <w:bCs/>
          <w:i/>
          <w:iCs/>
          <w:lang w:val="en-US" w:eastAsia="zh-CN"/>
        </w:rPr>
        <w:t>, only NR sidelink transmission power should be adjusted</w:t>
      </w:r>
      <w:r>
        <w:rPr>
          <w:rFonts w:eastAsia="宋体"/>
          <w:b/>
          <w:bCs/>
          <w:i/>
          <w:iCs/>
          <w:lang w:val="en-US" w:eastAsia="zh-CN"/>
        </w:rPr>
        <w:t xml:space="preserve"> if </w:t>
      </w:r>
      <w:r>
        <w:rPr>
          <w:b/>
          <w:bCs/>
          <w:i/>
          <w:iCs/>
          <w:lang w:val="en-US" w:eastAsia="zh-CN"/>
        </w:rPr>
        <w:t>the total transmission power exceeds the maximum power supported by the UE.</w:t>
      </w:r>
    </w:p>
    <w:p w:rsidR="00D97356" w:rsidRDefault="00FA6A68">
      <w:pPr>
        <w:pStyle w:val="1"/>
        <w:spacing w:before="180"/>
        <w:rPr>
          <w:sz w:val="32"/>
          <w:szCs w:val="32"/>
          <w:lang w:val="en-US"/>
        </w:rPr>
      </w:pPr>
      <w:r>
        <w:rPr>
          <w:rFonts w:hint="eastAsia"/>
          <w:sz w:val="32"/>
          <w:szCs w:val="32"/>
          <w:lang w:val="en-US"/>
        </w:rPr>
        <w:t>Reference</w:t>
      </w:r>
    </w:p>
    <w:p w:rsidR="00D97356" w:rsidRDefault="00FA6A68">
      <w:pPr>
        <w:widowControl w:val="0"/>
        <w:numPr>
          <w:ilvl w:val="0"/>
          <w:numId w:val="6"/>
        </w:numPr>
        <w:overflowPunct/>
        <w:autoSpaceDE/>
        <w:autoSpaceDN/>
        <w:adjustRightInd/>
        <w:snapToGrid w:val="0"/>
        <w:spacing w:after="0"/>
        <w:textAlignment w:val="auto"/>
        <w:rPr>
          <w:lang w:val="en-US" w:eastAsia="ja-JP"/>
        </w:rPr>
      </w:pPr>
      <w:r>
        <w:rPr>
          <w:rFonts w:hint="eastAsia"/>
          <w:lang w:val="en-US" w:eastAsia="ja-JP"/>
        </w:rPr>
        <w:t xml:space="preserve">Chairman's Notes RAN1 </w:t>
      </w:r>
      <w:r>
        <w:rPr>
          <w:rFonts w:eastAsia="宋体" w:hint="eastAsia"/>
          <w:lang w:val="en-US" w:eastAsia="zh-CN"/>
        </w:rPr>
        <w:t>AdHoc 1901,</w:t>
      </w:r>
      <w:r>
        <w:rPr>
          <w:rFonts w:hint="eastAsia"/>
          <w:lang w:val="en-US" w:eastAsia="zh-CN"/>
        </w:rPr>
        <w:t xml:space="preserve"> </w:t>
      </w:r>
      <w:r>
        <w:rPr>
          <w:rFonts w:hint="eastAsia"/>
          <w:lang w:val="en-US" w:eastAsia="ja-JP"/>
        </w:rPr>
        <w:t>Taipei, 21st – 25th January, 2019</w:t>
      </w:r>
      <w:r>
        <w:rPr>
          <w:rFonts w:hint="eastAsia"/>
          <w:lang w:val="en-US" w:eastAsia="zh-CN"/>
        </w:rPr>
        <w:t>.</w:t>
      </w:r>
    </w:p>
    <w:p w:rsidR="00D97356" w:rsidRDefault="00D97356">
      <w:pPr>
        <w:widowControl w:val="0"/>
        <w:overflowPunct/>
        <w:autoSpaceDE/>
        <w:autoSpaceDN/>
        <w:adjustRightInd/>
        <w:snapToGrid w:val="0"/>
        <w:spacing w:after="0"/>
        <w:textAlignment w:val="auto"/>
        <w:rPr>
          <w:lang w:eastAsia="ja-JP"/>
        </w:rPr>
      </w:pPr>
    </w:p>
    <w:sectPr w:rsidR="00D97356">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A68" w:rsidRDefault="00FA6A68">
      <w:pPr>
        <w:spacing w:after="0" w:line="240" w:lineRule="auto"/>
      </w:pPr>
      <w:r>
        <w:separator/>
      </w:r>
    </w:p>
  </w:endnote>
  <w:endnote w:type="continuationSeparator" w:id="0">
    <w:p w:rsidR="00FA6A68" w:rsidRDefault="00FA6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1615526"/>
    </w:sdtPr>
    <w:sdtEndPr/>
    <w:sdtContent>
      <w:p w:rsidR="00D97356" w:rsidRDefault="00FA6A68">
        <w:pPr>
          <w:pStyle w:val="ad"/>
          <w:jc w:val="center"/>
        </w:pPr>
        <w:r>
          <w:fldChar w:fldCharType="begin"/>
        </w:r>
        <w:r>
          <w:instrText xml:space="preserve"> PAGE   \* MERGEFORMAT </w:instrText>
        </w:r>
        <w:r>
          <w:fldChar w:fldCharType="separate"/>
        </w:r>
        <w:r w:rsidR="00832974">
          <w:rPr>
            <w:noProof/>
          </w:rPr>
          <w:t>3</w:t>
        </w:r>
        <w:r>
          <w:fldChar w:fldCharType="end"/>
        </w:r>
      </w:p>
    </w:sdtContent>
  </w:sdt>
  <w:p w:rsidR="00D97356" w:rsidRDefault="00D9735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A68" w:rsidRDefault="00FA6A68">
      <w:pPr>
        <w:spacing w:after="0" w:line="240" w:lineRule="auto"/>
      </w:pPr>
      <w:r>
        <w:separator/>
      </w:r>
    </w:p>
  </w:footnote>
  <w:footnote w:type="continuationSeparator" w:id="0">
    <w:p w:rsidR="00FA6A68" w:rsidRDefault="00FA6A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223D140"/>
    <w:multiLevelType w:val="singleLevel"/>
    <w:tmpl w:val="B223D140"/>
    <w:lvl w:ilvl="0">
      <w:start w:val="1"/>
      <w:numFmt w:val="bullet"/>
      <w:lvlText w:val=""/>
      <w:lvlJc w:val="left"/>
      <w:pPr>
        <w:ind w:left="420" w:hanging="420"/>
      </w:pPr>
      <w:rPr>
        <w:rFonts w:ascii="Wingdings" w:hAnsi="Wingdings" w:hint="default"/>
      </w:rPr>
    </w:lvl>
  </w:abstractNum>
  <w:abstractNum w:abstractNumId="1" w15:restartNumberingAfterBreak="0">
    <w:nsid w:val="1C0F3331"/>
    <w:multiLevelType w:val="multilevel"/>
    <w:tmpl w:val="1C0F3331"/>
    <w:lvl w:ilvl="0">
      <w:start w:val="7"/>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370762"/>
    <w:multiLevelType w:val="multilevel"/>
    <w:tmpl w:val="3A370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0D1082"/>
    <w:multiLevelType w:val="multilevel"/>
    <w:tmpl w:val="3B0D1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7ACF33"/>
    <w:multiLevelType w:val="multilevel"/>
    <w:tmpl w:val="5A7ACF33"/>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2050"/>
    <w:rsid w:val="000020FF"/>
    <w:rsid w:val="0000233C"/>
    <w:rsid w:val="00002AC2"/>
    <w:rsid w:val="00002E58"/>
    <w:rsid w:val="00003174"/>
    <w:rsid w:val="00003258"/>
    <w:rsid w:val="00003708"/>
    <w:rsid w:val="000038E9"/>
    <w:rsid w:val="00004ADA"/>
    <w:rsid w:val="00004C67"/>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0B4"/>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CA2"/>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6EC5"/>
    <w:rsid w:val="000B74C5"/>
    <w:rsid w:val="000B764C"/>
    <w:rsid w:val="000B7D1A"/>
    <w:rsid w:val="000C0ABC"/>
    <w:rsid w:val="000C0B6F"/>
    <w:rsid w:val="000C0CE9"/>
    <w:rsid w:val="000C0D60"/>
    <w:rsid w:val="000C169F"/>
    <w:rsid w:val="000C2030"/>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11"/>
    <w:rsid w:val="000D4287"/>
    <w:rsid w:val="000D4EDA"/>
    <w:rsid w:val="000D5115"/>
    <w:rsid w:val="000D571E"/>
    <w:rsid w:val="000D5CCB"/>
    <w:rsid w:val="000D6174"/>
    <w:rsid w:val="000D6512"/>
    <w:rsid w:val="000D66BC"/>
    <w:rsid w:val="000D6DA5"/>
    <w:rsid w:val="000D6F8E"/>
    <w:rsid w:val="000D6FCF"/>
    <w:rsid w:val="000D727B"/>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A7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5D"/>
    <w:rsid w:val="001538CD"/>
    <w:rsid w:val="00153999"/>
    <w:rsid w:val="0015454F"/>
    <w:rsid w:val="00154637"/>
    <w:rsid w:val="001546A9"/>
    <w:rsid w:val="0015491C"/>
    <w:rsid w:val="00154ACD"/>
    <w:rsid w:val="0015572D"/>
    <w:rsid w:val="00155878"/>
    <w:rsid w:val="00155A38"/>
    <w:rsid w:val="00155C03"/>
    <w:rsid w:val="00155CF6"/>
    <w:rsid w:val="00156253"/>
    <w:rsid w:val="00156478"/>
    <w:rsid w:val="00156EDD"/>
    <w:rsid w:val="001575EC"/>
    <w:rsid w:val="00157820"/>
    <w:rsid w:val="00157868"/>
    <w:rsid w:val="0016001A"/>
    <w:rsid w:val="001601CD"/>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5F6"/>
    <w:rsid w:val="0016597A"/>
    <w:rsid w:val="00165D9D"/>
    <w:rsid w:val="00165F76"/>
    <w:rsid w:val="00165FB5"/>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AA2"/>
    <w:rsid w:val="001A4B54"/>
    <w:rsid w:val="001A5125"/>
    <w:rsid w:val="001A53AB"/>
    <w:rsid w:val="001A55A3"/>
    <w:rsid w:val="001A5ABC"/>
    <w:rsid w:val="001A6752"/>
    <w:rsid w:val="001A6BD5"/>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4E18"/>
    <w:rsid w:val="001C534E"/>
    <w:rsid w:val="001C54C3"/>
    <w:rsid w:val="001C5EBF"/>
    <w:rsid w:val="001C5F0E"/>
    <w:rsid w:val="001C60EE"/>
    <w:rsid w:val="001C7D93"/>
    <w:rsid w:val="001D000E"/>
    <w:rsid w:val="001D03FE"/>
    <w:rsid w:val="001D0526"/>
    <w:rsid w:val="001D05D2"/>
    <w:rsid w:val="001D088C"/>
    <w:rsid w:val="001D0B22"/>
    <w:rsid w:val="001D1453"/>
    <w:rsid w:val="001D18C1"/>
    <w:rsid w:val="001D27E9"/>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634"/>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6383"/>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5B1"/>
    <w:rsid w:val="002567B9"/>
    <w:rsid w:val="00257C4C"/>
    <w:rsid w:val="00257ECA"/>
    <w:rsid w:val="00257FE2"/>
    <w:rsid w:val="00260738"/>
    <w:rsid w:val="00260837"/>
    <w:rsid w:val="0026098D"/>
    <w:rsid w:val="00260E04"/>
    <w:rsid w:val="00260FEF"/>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3AA9"/>
    <w:rsid w:val="002843D6"/>
    <w:rsid w:val="0028498A"/>
    <w:rsid w:val="00284D2B"/>
    <w:rsid w:val="00284DB7"/>
    <w:rsid w:val="002859FF"/>
    <w:rsid w:val="00285F40"/>
    <w:rsid w:val="00286393"/>
    <w:rsid w:val="002864D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21"/>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0EB"/>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4C9E"/>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1CE"/>
    <w:rsid w:val="003A39D5"/>
    <w:rsid w:val="003A39DE"/>
    <w:rsid w:val="003A3AF1"/>
    <w:rsid w:val="003A3E3B"/>
    <w:rsid w:val="003A4053"/>
    <w:rsid w:val="003A44E1"/>
    <w:rsid w:val="003A49DF"/>
    <w:rsid w:val="003A4A86"/>
    <w:rsid w:val="003A4B69"/>
    <w:rsid w:val="003A4F6A"/>
    <w:rsid w:val="003A516B"/>
    <w:rsid w:val="003A51CA"/>
    <w:rsid w:val="003A6E4C"/>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0EB"/>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214"/>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A9B"/>
    <w:rsid w:val="003E6DC4"/>
    <w:rsid w:val="003E7110"/>
    <w:rsid w:val="003F03D9"/>
    <w:rsid w:val="003F0786"/>
    <w:rsid w:val="003F0ADE"/>
    <w:rsid w:val="003F0DFE"/>
    <w:rsid w:val="003F0EF9"/>
    <w:rsid w:val="003F0F57"/>
    <w:rsid w:val="003F0F8E"/>
    <w:rsid w:val="003F1108"/>
    <w:rsid w:val="003F1228"/>
    <w:rsid w:val="003F1557"/>
    <w:rsid w:val="003F1C5F"/>
    <w:rsid w:val="003F1D0D"/>
    <w:rsid w:val="003F2A44"/>
    <w:rsid w:val="003F2B54"/>
    <w:rsid w:val="003F2B6B"/>
    <w:rsid w:val="003F2C37"/>
    <w:rsid w:val="003F2CD0"/>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565"/>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27EA2"/>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612"/>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D8C"/>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93C"/>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0962"/>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4B3"/>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48"/>
    <w:rsid w:val="004C5796"/>
    <w:rsid w:val="004C595B"/>
    <w:rsid w:val="004C5977"/>
    <w:rsid w:val="004C5B74"/>
    <w:rsid w:val="004C6540"/>
    <w:rsid w:val="004C65B7"/>
    <w:rsid w:val="004C6B45"/>
    <w:rsid w:val="004C6D87"/>
    <w:rsid w:val="004C79F4"/>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A6A"/>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2BC"/>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3BC8"/>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37E5F"/>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48FD"/>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5D68"/>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15D2"/>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C"/>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482"/>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22"/>
    <w:rsid w:val="005F6149"/>
    <w:rsid w:val="005F6C49"/>
    <w:rsid w:val="005F6DC4"/>
    <w:rsid w:val="005F7399"/>
    <w:rsid w:val="005F74E3"/>
    <w:rsid w:val="006001FB"/>
    <w:rsid w:val="006002EE"/>
    <w:rsid w:val="0060064C"/>
    <w:rsid w:val="00600B01"/>
    <w:rsid w:val="00600BCB"/>
    <w:rsid w:val="00600C73"/>
    <w:rsid w:val="0060138B"/>
    <w:rsid w:val="00601825"/>
    <w:rsid w:val="00602912"/>
    <w:rsid w:val="00602AAC"/>
    <w:rsid w:val="00602CF0"/>
    <w:rsid w:val="00603186"/>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C81"/>
    <w:rsid w:val="00607D93"/>
    <w:rsid w:val="006103E4"/>
    <w:rsid w:val="0061063E"/>
    <w:rsid w:val="00610973"/>
    <w:rsid w:val="00610E22"/>
    <w:rsid w:val="00611244"/>
    <w:rsid w:val="0061135B"/>
    <w:rsid w:val="0061152D"/>
    <w:rsid w:val="00611648"/>
    <w:rsid w:val="006117E5"/>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2EF4"/>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1D"/>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06F"/>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848"/>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64A"/>
    <w:rsid w:val="006757AA"/>
    <w:rsid w:val="00675967"/>
    <w:rsid w:val="006759A7"/>
    <w:rsid w:val="00675C93"/>
    <w:rsid w:val="00676031"/>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3DC4"/>
    <w:rsid w:val="0069402A"/>
    <w:rsid w:val="0069403C"/>
    <w:rsid w:val="00694616"/>
    <w:rsid w:val="0069527D"/>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1E07"/>
    <w:rsid w:val="006A2152"/>
    <w:rsid w:val="006A2994"/>
    <w:rsid w:val="006A2AAA"/>
    <w:rsid w:val="006A2AB4"/>
    <w:rsid w:val="006A2CD5"/>
    <w:rsid w:val="006A307A"/>
    <w:rsid w:val="006A3259"/>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4EFE"/>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CE4"/>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571"/>
    <w:rsid w:val="006E6780"/>
    <w:rsid w:val="006E6DF7"/>
    <w:rsid w:val="006E77E7"/>
    <w:rsid w:val="006E78F4"/>
    <w:rsid w:val="006E7A6A"/>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69FE"/>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115"/>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E45"/>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26"/>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2E34"/>
    <w:rsid w:val="007F319F"/>
    <w:rsid w:val="007F3362"/>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33F"/>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D"/>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974"/>
    <w:rsid w:val="00832EAD"/>
    <w:rsid w:val="0083310C"/>
    <w:rsid w:val="00833F69"/>
    <w:rsid w:val="008340A8"/>
    <w:rsid w:val="0083410C"/>
    <w:rsid w:val="00834487"/>
    <w:rsid w:val="008347DB"/>
    <w:rsid w:val="0083494F"/>
    <w:rsid w:val="00834D64"/>
    <w:rsid w:val="008352F0"/>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7EA"/>
    <w:rsid w:val="00842DBF"/>
    <w:rsid w:val="00842EE0"/>
    <w:rsid w:val="0084373F"/>
    <w:rsid w:val="00843F8E"/>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9AD"/>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AA3"/>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9F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3F9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4E"/>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05C4"/>
    <w:rsid w:val="008B1153"/>
    <w:rsid w:val="008B13B2"/>
    <w:rsid w:val="008B13C9"/>
    <w:rsid w:val="008B1BB5"/>
    <w:rsid w:val="008B1F05"/>
    <w:rsid w:val="008B1F89"/>
    <w:rsid w:val="008B259A"/>
    <w:rsid w:val="008B2BE8"/>
    <w:rsid w:val="008B32AB"/>
    <w:rsid w:val="008B33EA"/>
    <w:rsid w:val="008B3B28"/>
    <w:rsid w:val="008B3B53"/>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1D9"/>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F7"/>
    <w:rsid w:val="008F297E"/>
    <w:rsid w:val="008F3738"/>
    <w:rsid w:val="008F48BB"/>
    <w:rsid w:val="008F4ABF"/>
    <w:rsid w:val="008F4EF9"/>
    <w:rsid w:val="008F5BF4"/>
    <w:rsid w:val="008F5CA1"/>
    <w:rsid w:val="008F5E92"/>
    <w:rsid w:val="008F6504"/>
    <w:rsid w:val="008F67F6"/>
    <w:rsid w:val="008F6EFC"/>
    <w:rsid w:val="008F7386"/>
    <w:rsid w:val="008F7B05"/>
    <w:rsid w:val="008F7DEB"/>
    <w:rsid w:val="00900A54"/>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06"/>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3EDA"/>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1A5"/>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160"/>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24"/>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9CA"/>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567"/>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4FE1"/>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2EC6"/>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83"/>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2D7E"/>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923"/>
    <w:rsid w:val="00A80A59"/>
    <w:rsid w:val="00A81237"/>
    <w:rsid w:val="00A81512"/>
    <w:rsid w:val="00A816D3"/>
    <w:rsid w:val="00A81A2F"/>
    <w:rsid w:val="00A8209F"/>
    <w:rsid w:val="00A82137"/>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5E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2FA9"/>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0C"/>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2DED"/>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3469"/>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98C"/>
    <w:rsid w:val="00BA2BA0"/>
    <w:rsid w:val="00BA2F76"/>
    <w:rsid w:val="00BA3146"/>
    <w:rsid w:val="00BA3323"/>
    <w:rsid w:val="00BA4008"/>
    <w:rsid w:val="00BA4830"/>
    <w:rsid w:val="00BA4ED0"/>
    <w:rsid w:val="00BA519B"/>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8E8"/>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0ED"/>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51"/>
    <w:rsid w:val="00BD56F7"/>
    <w:rsid w:val="00BD6312"/>
    <w:rsid w:val="00BD63BE"/>
    <w:rsid w:val="00BD6675"/>
    <w:rsid w:val="00BD678D"/>
    <w:rsid w:val="00BD6808"/>
    <w:rsid w:val="00BD7869"/>
    <w:rsid w:val="00BD7CA6"/>
    <w:rsid w:val="00BD7F9B"/>
    <w:rsid w:val="00BE0067"/>
    <w:rsid w:val="00BE0430"/>
    <w:rsid w:val="00BE0593"/>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CC2"/>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0768"/>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1F23"/>
    <w:rsid w:val="00C51FB0"/>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8FE"/>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44F"/>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0321"/>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5EA8"/>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69E1"/>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50"/>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5EC9"/>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308"/>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C65"/>
    <w:rsid w:val="00D76B3D"/>
    <w:rsid w:val="00D76DCC"/>
    <w:rsid w:val="00D76FB9"/>
    <w:rsid w:val="00D77131"/>
    <w:rsid w:val="00D779CC"/>
    <w:rsid w:val="00D77AB3"/>
    <w:rsid w:val="00D77CFF"/>
    <w:rsid w:val="00D77E84"/>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7A5"/>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356"/>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4B5C"/>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1E5B"/>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8FB"/>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4C1"/>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2B"/>
    <w:rsid w:val="00EA04D3"/>
    <w:rsid w:val="00EA065E"/>
    <w:rsid w:val="00EA0D43"/>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A4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794"/>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3E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44"/>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6A68"/>
    <w:rsid w:val="00FA75BF"/>
    <w:rsid w:val="00FA75DD"/>
    <w:rsid w:val="00FA76B6"/>
    <w:rsid w:val="00FB01B0"/>
    <w:rsid w:val="00FB05DD"/>
    <w:rsid w:val="00FB0A3C"/>
    <w:rsid w:val="00FB1B22"/>
    <w:rsid w:val="00FB1DD7"/>
    <w:rsid w:val="00FB1F7F"/>
    <w:rsid w:val="00FB20C8"/>
    <w:rsid w:val="00FB2268"/>
    <w:rsid w:val="00FB2AB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15B"/>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5C57"/>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07030"/>
    <w:rsid w:val="01BB2BB1"/>
    <w:rsid w:val="01F43F46"/>
    <w:rsid w:val="01F65D89"/>
    <w:rsid w:val="02174545"/>
    <w:rsid w:val="02B244B0"/>
    <w:rsid w:val="02E01B84"/>
    <w:rsid w:val="02EE3B10"/>
    <w:rsid w:val="0363476C"/>
    <w:rsid w:val="036A1647"/>
    <w:rsid w:val="041D473C"/>
    <w:rsid w:val="042919B8"/>
    <w:rsid w:val="04500800"/>
    <w:rsid w:val="04571575"/>
    <w:rsid w:val="04C351D4"/>
    <w:rsid w:val="04CA4F87"/>
    <w:rsid w:val="052722B6"/>
    <w:rsid w:val="057275F8"/>
    <w:rsid w:val="05891C7E"/>
    <w:rsid w:val="05C12B04"/>
    <w:rsid w:val="05C36270"/>
    <w:rsid w:val="05CD4AED"/>
    <w:rsid w:val="05EE6983"/>
    <w:rsid w:val="063B3F75"/>
    <w:rsid w:val="066831BE"/>
    <w:rsid w:val="0681071A"/>
    <w:rsid w:val="06B718DB"/>
    <w:rsid w:val="07134E2B"/>
    <w:rsid w:val="07143F2C"/>
    <w:rsid w:val="073B656D"/>
    <w:rsid w:val="07C67563"/>
    <w:rsid w:val="08040F92"/>
    <w:rsid w:val="080548F0"/>
    <w:rsid w:val="080A3486"/>
    <w:rsid w:val="086906C2"/>
    <w:rsid w:val="088D5BD8"/>
    <w:rsid w:val="08C43024"/>
    <w:rsid w:val="08DD10AA"/>
    <w:rsid w:val="08F230C4"/>
    <w:rsid w:val="091426E8"/>
    <w:rsid w:val="09412E5A"/>
    <w:rsid w:val="09471CAD"/>
    <w:rsid w:val="09632052"/>
    <w:rsid w:val="097148C1"/>
    <w:rsid w:val="099C14BF"/>
    <w:rsid w:val="09AC737F"/>
    <w:rsid w:val="09D76B7C"/>
    <w:rsid w:val="0A5A0CCD"/>
    <w:rsid w:val="0A8F758B"/>
    <w:rsid w:val="0AD914CE"/>
    <w:rsid w:val="0AFF6C5F"/>
    <w:rsid w:val="0B0034C2"/>
    <w:rsid w:val="0B0C74CF"/>
    <w:rsid w:val="0B761ED6"/>
    <w:rsid w:val="0BF427CE"/>
    <w:rsid w:val="0BFD0200"/>
    <w:rsid w:val="0C051601"/>
    <w:rsid w:val="0C237EE8"/>
    <w:rsid w:val="0C4A0A97"/>
    <w:rsid w:val="0C571D91"/>
    <w:rsid w:val="0C906C2D"/>
    <w:rsid w:val="0C9A29ED"/>
    <w:rsid w:val="0CBD4A0D"/>
    <w:rsid w:val="0CC2706D"/>
    <w:rsid w:val="0CCC39BF"/>
    <w:rsid w:val="0CE15718"/>
    <w:rsid w:val="0D100193"/>
    <w:rsid w:val="0D29199F"/>
    <w:rsid w:val="0D4625FF"/>
    <w:rsid w:val="0D674E47"/>
    <w:rsid w:val="0D9D1E33"/>
    <w:rsid w:val="0DAA4EA7"/>
    <w:rsid w:val="0DB17E45"/>
    <w:rsid w:val="0DB67999"/>
    <w:rsid w:val="0DFB40B9"/>
    <w:rsid w:val="0E0E14B1"/>
    <w:rsid w:val="0E2072DD"/>
    <w:rsid w:val="0EAE0461"/>
    <w:rsid w:val="0ED5166B"/>
    <w:rsid w:val="0ED96A2A"/>
    <w:rsid w:val="0EE123F2"/>
    <w:rsid w:val="0EF64F63"/>
    <w:rsid w:val="0F0209B3"/>
    <w:rsid w:val="0F4D38D0"/>
    <w:rsid w:val="0F604D6B"/>
    <w:rsid w:val="0F6D0490"/>
    <w:rsid w:val="0FAC55DF"/>
    <w:rsid w:val="0FB46533"/>
    <w:rsid w:val="0FE353A5"/>
    <w:rsid w:val="101653FE"/>
    <w:rsid w:val="101B054F"/>
    <w:rsid w:val="105D13C1"/>
    <w:rsid w:val="105D45D7"/>
    <w:rsid w:val="10A71AF2"/>
    <w:rsid w:val="10E4668E"/>
    <w:rsid w:val="112D614C"/>
    <w:rsid w:val="114244D6"/>
    <w:rsid w:val="114616F6"/>
    <w:rsid w:val="115C6E95"/>
    <w:rsid w:val="116D5516"/>
    <w:rsid w:val="11835746"/>
    <w:rsid w:val="119C2596"/>
    <w:rsid w:val="11EA35B6"/>
    <w:rsid w:val="11FE0F20"/>
    <w:rsid w:val="125E484B"/>
    <w:rsid w:val="12605F0E"/>
    <w:rsid w:val="127C7D15"/>
    <w:rsid w:val="1280521B"/>
    <w:rsid w:val="12C627E8"/>
    <w:rsid w:val="12E73FE3"/>
    <w:rsid w:val="133B002D"/>
    <w:rsid w:val="1347637A"/>
    <w:rsid w:val="136A5E89"/>
    <w:rsid w:val="139004AD"/>
    <w:rsid w:val="13C519EB"/>
    <w:rsid w:val="143B097E"/>
    <w:rsid w:val="1448398C"/>
    <w:rsid w:val="145F038D"/>
    <w:rsid w:val="148A4F0F"/>
    <w:rsid w:val="14D5544F"/>
    <w:rsid w:val="15393677"/>
    <w:rsid w:val="157531B6"/>
    <w:rsid w:val="15C56E17"/>
    <w:rsid w:val="15CB01DE"/>
    <w:rsid w:val="15F75498"/>
    <w:rsid w:val="15F75AF0"/>
    <w:rsid w:val="15F93C07"/>
    <w:rsid w:val="16545FD8"/>
    <w:rsid w:val="167D7A7C"/>
    <w:rsid w:val="168625CD"/>
    <w:rsid w:val="16B813FF"/>
    <w:rsid w:val="16F06DE0"/>
    <w:rsid w:val="17336823"/>
    <w:rsid w:val="17E11441"/>
    <w:rsid w:val="17EE1AB2"/>
    <w:rsid w:val="17F32A33"/>
    <w:rsid w:val="181D3E82"/>
    <w:rsid w:val="183C2ADA"/>
    <w:rsid w:val="186F336F"/>
    <w:rsid w:val="187F0E9A"/>
    <w:rsid w:val="18B87E24"/>
    <w:rsid w:val="18BA5688"/>
    <w:rsid w:val="18E129D5"/>
    <w:rsid w:val="18FB4414"/>
    <w:rsid w:val="194B7CE4"/>
    <w:rsid w:val="196E2CFD"/>
    <w:rsid w:val="197079C1"/>
    <w:rsid w:val="19712743"/>
    <w:rsid w:val="1985549C"/>
    <w:rsid w:val="198C1605"/>
    <w:rsid w:val="19C74909"/>
    <w:rsid w:val="19EE7A04"/>
    <w:rsid w:val="1A115BF5"/>
    <w:rsid w:val="1A1B0EE6"/>
    <w:rsid w:val="1A472F44"/>
    <w:rsid w:val="1A73258B"/>
    <w:rsid w:val="1AA26902"/>
    <w:rsid w:val="1AA774AF"/>
    <w:rsid w:val="1ABB4971"/>
    <w:rsid w:val="1AC1475C"/>
    <w:rsid w:val="1B0914DE"/>
    <w:rsid w:val="1B246DA9"/>
    <w:rsid w:val="1B3E614B"/>
    <w:rsid w:val="1B9D1E8B"/>
    <w:rsid w:val="1BA76DCD"/>
    <w:rsid w:val="1BB34FD4"/>
    <w:rsid w:val="1C1A0A69"/>
    <w:rsid w:val="1C215368"/>
    <w:rsid w:val="1C496310"/>
    <w:rsid w:val="1C694446"/>
    <w:rsid w:val="1CA34696"/>
    <w:rsid w:val="1D055ED1"/>
    <w:rsid w:val="1D5A4177"/>
    <w:rsid w:val="1D8748C6"/>
    <w:rsid w:val="1E27112F"/>
    <w:rsid w:val="1E2834FE"/>
    <w:rsid w:val="1E893F0E"/>
    <w:rsid w:val="1E8E2195"/>
    <w:rsid w:val="1E9D1B77"/>
    <w:rsid w:val="1EC73D14"/>
    <w:rsid w:val="1F3C1AA5"/>
    <w:rsid w:val="1F6071CE"/>
    <w:rsid w:val="1F893965"/>
    <w:rsid w:val="1F8C191A"/>
    <w:rsid w:val="1F9675F9"/>
    <w:rsid w:val="20577216"/>
    <w:rsid w:val="20CF4A9D"/>
    <w:rsid w:val="212E6F98"/>
    <w:rsid w:val="213B402E"/>
    <w:rsid w:val="21E860F5"/>
    <w:rsid w:val="221815BF"/>
    <w:rsid w:val="223E5F7E"/>
    <w:rsid w:val="22582F19"/>
    <w:rsid w:val="22872C28"/>
    <w:rsid w:val="228F6C5B"/>
    <w:rsid w:val="229A6E29"/>
    <w:rsid w:val="229D35EC"/>
    <w:rsid w:val="22A60A2C"/>
    <w:rsid w:val="22E461E1"/>
    <w:rsid w:val="22F9544B"/>
    <w:rsid w:val="23160A0C"/>
    <w:rsid w:val="23247D99"/>
    <w:rsid w:val="232A621F"/>
    <w:rsid w:val="234818B0"/>
    <w:rsid w:val="23C82CEB"/>
    <w:rsid w:val="23E00497"/>
    <w:rsid w:val="240F0148"/>
    <w:rsid w:val="243A5CDB"/>
    <w:rsid w:val="24561A10"/>
    <w:rsid w:val="245D4347"/>
    <w:rsid w:val="247513E0"/>
    <w:rsid w:val="24952FEC"/>
    <w:rsid w:val="24DF4FCA"/>
    <w:rsid w:val="24E64E77"/>
    <w:rsid w:val="258F435F"/>
    <w:rsid w:val="26384BF6"/>
    <w:rsid w:val="272D697A"/>
    <w:rsid w:val="27C04027"/>
    <w:rsid w:val="27F45854"/>
    <w:rsid w:val="286E49CF"/>
    <w:rsid w:val="2898465B"/>
    <w:rsid w:val="28EA2FA9"/>
    <w:rsid w:val="2920302D"/>
    <w:rsid w:val="292B6242"/>
    <w:rsid w:val="294A6FAD"/>
    <w:rsid w:val="296E5568"/>
    <w:rsid w:val="29A613DC"/>
    <w:rsid w:val="29D10637"/>
    <w:rsid w:val="2A0B341A"/>
    <w:rsid w:val="2A3B57A0"/>
    <w:rsid w:val="2A70750B"/>
    <w:rsid w:val="2ABE10C4"/>
    <w:rsid w:val="2AD43ACF"/>
    <w:rsid w:val="2B0B521C"/>
    <w:rsid w:val="2B7E4F3E"/>
    <w:rsid w:val="2B837A1F"/>
    <w:rsid w:val="2B8401D4"/>
    <w:rsid w:val="2B840611"/>
    <w:rsid w:val="2B9722B9"/>
    <w:rsid w:val="2BB26E48"/>
    <w:rsid w:val="2BC5626F"/>
    <w:rsid w:val="2BDA6799"/>
    <w:rsid w:val="2BDF4193"/>
    <w:rsid w:val="2C830DC1"/>
    <w:rsid w:val="2C8D1078"/>
    <w:rsid w:val="2CFB4D20"/>
    <w:rsid w:val="2D085FA8"/>
    <w:rsid w:val="2D447FF5"/>
    <w:rsid w:val="2D4D45B1"/>
    <w:rsid w:val="2D851F4C"/>
    <w:rsid w:val="2DC72DD4"/>
    <w:rsid w:val="2DFF7C46"/>
    <w:rsid w:val="2E48670E"/>
    <w:rsid w:val="2E744F10"/>
    <w:rsid w:val="2E9A6069"/>
    <w:rsid w:val="2ED51110"/>
    <w:rsid w:val="2F2A5E40"/>
    <w:rsid w:val="2F341996"/>
    <w:rsid w:val="2FC50D33"/>
    <w:rsid w:val="2FF377D6"/>
    <w:rsid w:val="2FF567EE"/>
    <w:rsid w:val="30B42CCD"/>
    <w:rsid w:val="30C83A16"/>
    <w:rsid w:val="30D02902"/>
    <w:rsid w:val="30DC35E0"/>
    <w:rsid w:val="31810FAA"/>
    <w:rsid w:val="31BC5F02"/>
    <w:rsid w:val="326D411F"/>
    <w:rsid w:val="32874EA9"/>
    <w:rsid w:val="32F10988"/>
    <w:rsid w:val="32FD3DFD"/>
    <w:rsid w:val="337373BE"/>
    <w:rsid w:val="338B32E5"/>
    <w:rsid w:val="338C4F7F"/>
    <w:rsid w:val="33A45F1C"/>
    <w:rsid w:val="33CF0F96"/>
    <w:rsid w:val="33D134CA"/>
    <w:rsid w:val="33DE3C3E"/>
    <w:rsid w:val="34592AD1"/>
    <w:rsid w:val="34753DAA"/>
    <w:rsid w:val="34D5581A"/>
    <w:rsid w:val="34F359FD"/>
    <w:rsid w:val="350B7FA1"/>
    <w:rsid w:val="3555455A"/>
    <w:rsid w:val="358712E9"/>
    <w:rsid w:val="35877CD1"/>
    <w:rsid w:val="35BA03CA"/>
    <w:rsid w:val="35E53F1E"/>
    <w:rsid w:val="36B47BFE"/>
    <w:rsid w:val="37321B71"/>
    <w:rsid w:val="376171EB"/>
    <w:rsid w:val="37B3299A"/>
    <w:rsid w:val="37CE4DBF"/>
    <w:rsid w:val="37DB2472"/>
    <w:rsid w:val="384A48FC"/>
    <w:rsid w:val="38884A8C"/>
    <w:rsid w:val="38B47822"/>
    <w:rsid w:val="38CA57CA"/>
    <w:rsid w:val="38D034E0"/>
    <w:rsid w:val="38E03743"/>
    <w:rsid w:val="390A7B96"/>
    <w:rsid w:val="3925619A"/>
    <w:rsid w:val="39266E17"/>
    <w:rsid w:val="39315B32"/>
    <w:rsid w:val="393508A3"/>
    <w:rsid w:val="39521E63"/>
    <w:rsid w:val="39867D75"/>
    <w:rsid w:val="39937DFD"/>
    <w:rsid w:val="3A081EFD"/>
    <w:rsid w:val="3A0B0120"/>
    <w:rsid w:val="3A2071EB"/>
    <w:rsid w:val="3A4B15D9"/>
    <w:rsid w:val="3AA051A3"/>
    <w:rsid w:val="3AB80156"/>
    <w:rsid w:val="3B530477"/>
    <w:rsid w:val="3B5F01DF"/>
    <w:rsid w:val="3B763536"/>
    <w:rsid w:val="3BA56BAC"/>
    <w:rsid w:val="3BC95299"/>
    <w:rsid w:val="3C896FA0"/>
    <w:rsid w:val="3CC03D0E"/>
    <w:rsid w:val="3D1817FF"/>
    <w:rsid w:val="3D2B16BC"/>
    <w:rsid w:val="3D5C5142"/>
    <w:rsid w:val="3D8779D6"/>
    <w:rsid w:val="3DA2376E"/>
    <w:rsid w:val="3DC13DCB"/>
    <w:rsid w:val="3DEF2DDB"/>
    <w:rsid w:val="3E081A76"/>
    <w:rsid w:val="3E33399B"/>
    <w:rsid w:val="3E546E21"/>
    <w:rsid w:val="3E8A3201"/>
    <w:rsid w:val="3EAC1E51"/>
    <w:rsid w:val="40057331"/>
    <w:rsid w:val="402B4A88"/>
    <w:rsid w:val="406560BF"/>
    <w:rsid w:val="406F7959"/>
    <w:rsid w:val="40905314"/>
    <w:rsid w:val="41122711"/>
    <w:rsid w:val="415F3DA7"/>
    <w:rsid w:val="4200687B"/>
    <w:rsid w:val="427605AF"/>
    <w:rsid w:val="42CD7E1B"/>
    <w:rsid w:val="42E7444F"/>
    <w:rsid w:val="4340284B"/>
    <w:rsid w:val="43497360"/>
    <w:rsid w:val="437A0E72"/>
    <w:rsid w:val="43E00A4E"/>
    <w:rsid w:val="4419201E"/>
    <w:rsid w:val="441D64EE"/>
    <w:rsid w:val="447C48DA"/>
    <w:rsid w:val="44DE3B1E"/>
    <w:rsid w:val="45923186"/>
    <w:rsid w:val="45CD1FC9"/>
    <w:rsid w:val="45DE4B26"/>
    <w:rsid w:val="460F214B"/>
    <w:rsid w:val="46AD4E89"/>
    <w:rsid w:val="46B90D4C"/>
    <w:rsid w:val="46CC3E8D"/>
    <w:rsid w:val="47BF1122"/>
    <w:rsid w:val="47DF718C"/>
    <w:rsid w:val="480541DD"/>
    <w:rsid w:val="48321490"/>
    <w:rsid w:val="483E1E79"/>
    <w:rsid w:val="48896C5F"/>
    <w:rsid w:val="492615EE"/>
    <w:rsid w:val="49D2442F"/>
    <w:rsid w:val="49EA70B8"/>
    <w:rsid w:val="49F02E4E"/>
    <w:rsid w:val="4A073582"/>
    <w:rsid w:val="4A222EB7"/>
    <w:rsid w:val="4A356E5E"/>
    <w:rsid w:val="4A736166"/>
    <w:rsid w:val="4AC95A07"/>
    <w:rsid w:val="4ACB55ED"/>
    <w:rsid w:val="4AE31F5E"/>
    <w:rsid w:val="4B2019D2"/>
    <w:rsid w:val="4B2C7866"/>
    <w:rsid w:val="4B2E6E30"/>
    <w:rsid w:val="4B776CA8"/>
    <w:rsid w:val="4C263B4B"/>
    <w:rsid w:val="4C2776D7"/>
    <w:rsid w:val="4C387E46"/>
    <w:rsid w:val="4CB21069"/>
    <w:rsid w:val="4D0C79BF"/>
    <w:rsid w:val="4D0E2B32"/>
    <w:rsid w:val="4D364A6A"/>
    <w:rsid w:val="4D507EDA"/>
    <w:rsid w:val="4D6D5A9B"/>
    <w:rsid w:val="4DA8137A"/>
    <w:rsid w:val="4DBA77BE"/>
    <w:rsid w:val="4E475DE4"/>
    <w:rsid w:val="4E4C22E8"/>
    <w:rsid w:val="4EB550A9"/>
    <w:rsid w:val="4EC70C6D"/>
    <w:rsid w:val="4ED87F40"/>
    <w:rsid w:val="4EE920EC"/>
    <w:rsid w:val="4F9059ED"/>
    <w:rsid w:val="4FC37AD4"/>
    <w:rsid w:val="4FD85E5C"/>
    <w:rsid w:val="4FE914C8"/>
    <w:rsid w:val="502A2517"/>
    <w:rsid w:val="502D73B4"/>
    <w:rsid w:val="50524D87"/>
    <w:rsid w:val="50A44482"/>
    <w:rsid w:val="50C304C7"/>
    <w:rsid w:val="50D00699"/>
    <w:rsid w:val="50DA2806"/>
    <w:rsid w:val="50F12F5E"/>
    <w:rsid w:val="510938CE"/>
    <w:rsid w:val="510C52F1"/>
    <w:rsid w:val="51411CDE"/>
    <w:rsid w:val="514F236B"/>
    <w:rsid w:val="518B1F62"/>
    <w:rsid w:val="51CB7742"/>
    <w:rsid w:val="51CC1A55"/>
    <w:rsid w:val="51F531C2"/>
    <w:rsid w:val="524545ED"/>
    <w:rsid w:val="527D2E47"/>
    <w:rsid w:val="52C41461"/>
    <w:rsid w:val="53154013"/>
    <w:rsid w:val="535B53F8"/>
    <w:rsid w:val="54174029"/>
    <w:rsid w:val="5421087D"/>
    <w:rsid w:val="54333B29"/>
    <w:rsid w:val="54556245"/>
    <w:rsid w:val="54D4029E"/>
    <w:rsid w:val="54D80F12"/>
    <w:rsid w:val="54EA7F86"/>
    <w:rsid w:val="552157FF"/>
    <w:rsid w:val="55A900C5"/>
    <w:rsid w:val="55C8346A"/>
    <w:rsid w:val="56153A72"/>
    <w:rsid w:val="561F2012"/>
    <w:rsid w:val="563D52AB"/>
    <w:rsid w:val="56715977"/>
    <w:rsid w:val="56C41A30"/>
    <w:rsid w:val="57162EE9"/>
    <w:rsid w:val="5718425C"/>
    <w:rsid w:val="574D5F81"/>
    <w:rsid w:val="57750CAA"/>
    <w:rsid w:val="577C5FC5"/>
    <w:rsid w:val="57960862"/>
    <w:rsid w:val="57A675E8"/>
    <w:rsid w:val="580559A9"/>
    <w:rsid w:val="58217BC1"/>
    <w:rsid w:val="5897449B"/>
    <w:rsid w:val="58CB7B94"/>
    <w:rsid w:val="59137428"/>
    <w:rsid w:val="591D7955"/>
    <w:rsid w:val="593247A2"/>
    <w:rsid w:val="59D61EA1"/>
    <w:rsid w:val="5AB66EE8"/>
    <w:rsid w:val="5AB85236"/>
    <w:rsid w:val="5AF27073"/>
    <w:rsid w:val="5B0E41AE"/>
    <w:rsid w:val="5B315295"/>
    <w:rsid w:val="5B425D21"/>
    <w:rsid w:val="5B5E49F5"/>
    <w:rsid w:val="5B934375"/>
    <w:rsid w:val="5B937D57"/>
    <w:rsid w:val="5BB73E56"/>
    <w:rsid w:val="5BBF584D"/>
    <w:rsid w:val="5BD14E31"/>
    <w:rsid w:val="5BD400B4"/>
    <w:rsid w:val="5CB33BCC"/>
    <w:rsid w:val="5D175E98"/>
    <w:rsid w:val="5D1B2E11"/>
    <w:rsid w:val="5D6E03CD"/>
    <w:rsid w:val="5D7B1EFF"/>
    <w:rsid w:val="5E095FD6"/>
    <w:rsid w:val="5E1621C7"/>
    <w:rsid w:val="5E254B6A"/>
    <w:rsid w:val="5E2D7F4E"/>
    <w:rsid w:val="5E5D258D"/>
    <w:rsid w:val="5E9922EF"/>
    <w:rsid w:val="5EEA1043"/>
    <w:rsid w:val="5F165E41"/>
    <w:rsid w:val="5F636374"/>
    <w:rsid w:val="5FBB6F20"/>
    <w:rsid w:val="5FDE2D35"/>
    <w:rsid w:val="5FF3686A"/>
    <w:rsid w:val="60142AE5"/>
    <w:rsid w:val="60804539"/>
    <w:rsid w:val="60F42621"/>
    <w:rsid w:val="611D47E2"/>
    <w:rsid w:val="612F7F69"/>
    <w:rsid w:val="613655EB"/>
    <w:rsid w:val="6182796F"/>
    <w:rsid w:val="618A42A3"/>
    <w:rsid w:val="61AD3BBB"/>
    <w:rsid w:val="62CC6BF6"/>
    <w:rsid w:val="62D42707"/>
    <w:rsid w:val="62DC1B81"/>
    <w:rsid w:val="63724E05"/>
    <w:rsid w:val="638054C6"/>
    <w:rsid w:val="63B14B31"/>
    <w:rsid w:val="645E2E00"/>
    <w:rsid w:val="646206E8"/>
    <w:rsid w:val="64893F0E"/>
    <w:rsid w:val="64F92C1C"/>
    <w:rsid w:val="6517350E"/>
    <w:rsid w:val="652D5C5E"/>
    <w:rsid w:val="657E2B4D"/>
    <w:rsid w:val="65916936"/>
    <w:rsid w:val="65C90963"/>
    <w:rsid w:val="65CE126B"/>
    <w:rsid w:val="65E700DA"/>
    <w:rsid w:val="65EC4DE9"/>
    <w:rsid w:val="65F566B2"/>
    <w:rsid w:val="662B7D84"/>
    <w:rsid w:val="66640058"/>
    <w:rsid w:val="66AB6245"/>
    <w:rsid w:val="66B375A9"/>
    <w:rsid w:val="66DB6458"/>
    <w:rsid w:val="66DC37DF"/>
    <w:rsid w:val="66FC2C68"/>
    <w:rsid w:val="670C202A"/>
    <w:rsid w:val="67223129"/>
    <w:rsid w:val="672F4E69"/>
    <w:rsid w:val="676372EC"/>
    <w:rsid w:val="67D743F9"/>
    <w:rsid w:val="67F51298"/>
    <w:rsid w:val="68133200"/>
    <w:rsid w:val="683965E5"/>
    <w:rsid w:val="688C62A5"/>
    <w:rsid w:val="68B56A22"/>
    <w:rsid w:val="68C52200"/>
    <w:rsid w:val="68F41C96"/>
    <w:rsid w:val="69287EE2"/>
    <w:rsid w:val="694E1A66"/>
    <w:rsid w:val="69610F6B"/>
    <w:rsid w:val="698545F7"/>
    <w:rsid w:val="698D6398"/>
    <w:rsid w:val="698E742B"/>
    <w:rsid w:val="69E2415D"/>
    <w:rsid w:val="6A4212D6"/>
    <w:rsid w:val="6A424096"/>
    <w:rsid w:val="6AAF6951"/>
    <w:rsid w:val="6AE51961"/>
    <w:rsid w:val="6AF676F2"/>
    <w:rsid w:val="6B007F0C"/>
    <w:rsid w:val="6B2463A5"/>
    <w:rsid w:val="6B495555"/>
    <w:rsid w:val="6B4B551D"/>
    <w:rsid w:val="6BEE2C96"/>
    <w:rsid w:val="6C384437"/>
    <w:rsid w:val="6C46566F"/>
    <w:rsid w:val="6CEC3918"/>
    <w:rsid w:val="6CF5551D"/>
    <w:rsid w:val="6D0F78B3"/>
    <w:rsid w:val="6D1710BD"/>
    <w:rsid w:val="6D1839B1"/>
    <w:rsid w:val="6D1E6CC3"/>
    <w:rsid w:val="6D836F9C"/>
    <w:rsid w:val="6DE044EC"/>
    <w:rsid w:val="6E082DA3"/>
    <w:rsid w:val="6EE17749"/>
    <w:rsid w:val="6EFE42D3"/>
    <w:rsid w:val="6F7B76F7"/>
    <w:rsid w:val="6F8469F0"/>
    <w:rsid w:val="6FBD44BC"/>
    <w:rsid w:val="6FD92851"/>
    <w:rsid w:val="70267BBB"/>
    <w:rsid w:val="703C5922"/>
    <w:rsid w:val="70E72CA2"/>
    <w:rsid w:val="70FA3F16"/>
    <w:rsid w:val="710B3318"/>
    <w:rsid w:val="713A2685"/>
    <w:rsid w:val="71EB0593"/>
    <w:rsid w:val="729544E0"/>
    <w:rsid w:val="72CE211E"/>
    <w:rsid w:val="72D71B10"/>
    <w:rsid w:val="735658C6"/>
    <w:rsid w:val="73764CFB"/>
    <w:rsid w:val="73843ADD"/>
    <w:rsid w:val="739975CD"/>
    <w:rsid w:val="73C24A66"/>
    <w:rsid w:val="73D460B1"/>
    <w:rsid w:val="73D91B86"/>
    <w:rsid w:val="73EE3B25"/>
    <w:rsid w:val="73F54D66"/>
    <w:rsid w:val="73FE3F12"/>
    <w:rsid w:val="74116C21"/>
    <w:rsid w:val="74595516"/>
    <w:rsid w:val="74695641"/>
    <w:rsid w:val="748A39F0"/>
    <w:rsid w:val="74916B90"/>
    <w:rsid w:val="74A07A4D"/>
    <w:rsid w:val="751B7FD3"/>
    <w:rsid w:val="75230D46"/>
    <w:rsid w:val="754048FD"/>
    <w:rsid w:val="754350FF"/>
    <w:rsid w:val="755461EF"/>
    <w:rsid w:val="755E6535"/>
    <w:rsid w:val="759A0897"/>
    <w:rsid w:val="75AA43C6"/>
    <w:rsid w:val="75CD0BAA"/>
    <w:rsid w:val="75D52EF2"/>
    <w:rsid w:val="75E90592"/>
    <w:rsid w:val="761D53B7"/>
    <w:rsid w:val="76CC5ADD"/>
    <w:rsid w:val="76D1161B"/>
    <w:rsid w:val="76EB7ED4"/>
    <w:rsid w:val="77320F19"/>
    <w:rsid w:val="780B2697"/>
    <w:rsid w:val="785211C0"/>
    <w:rsid w:val="78A53F79"/>
    <w:rsid w:val="78B17B2E"/>
    <w:rsid w:val="78B52B05"/>
    <w:rsid w:val="78F2408B"/>
    <w:rsid w:val="79011F03"/>
    <w:rsid w:val="79FC10E3"/>
    <w:rsid w:val="7A07204E"/>
    <w:rsid w:val="7A0F12E6"/>
    <w:rsid w:val="7A3D614F"/>
    <w:rsid w:val="7A443267"/>
    <w:rsid w:val="7B3103E1"/>
    <w:rsid w:val="7B5F6A02"/>
    <w:rsid w:val="7B70782C"/>
    <w:rsid w:val="7BA11A60"/>
    <w:rsid w:val="7BDA0039"/>
    <w:rsid w:val="7BEC5C1D"/>
    <w:rsid w:val="7C4642B9"/>
    <w:rsid w:val="7C625F2A"/>
    <w:rsid w:val="7C842DB4"/>
    <w:rsid w:val="7CC9248C"/>
    <w:rsid w:val="7D834B03"/>
    <w:rsid w:val="7D8A685E"/>
    <w:rsid w:val="7E1B6626"/>
    <w:rsid w:val="7E212A95"/>
    <w:rsid w:val="7E355A5A"/>
    <w:rsid w:val="7E43770C"/>
    <w:rsid w:val="7E8A65BE"/>
    <w:rsid w:val="7E9267E4"/>
    <w:rsid w:val="7EA10AE0"/>
    <w:rsid w:val="7EC218D0"/>
    <w:rsid w:val="7EDB16F0"/>
    <w:rsid w:val="7F2F6CE8"/>
    <w:rsid w:val="7F3F6CBD"/>
    <w:rsid w:val="7FA372E7"/>
    <w:rsid w:val="7FF03FC9"/>
    <w:rsid w:val="7FFD5B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BBAB36-91DB-43F2-A9F8-B7CE7EE5F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lang w:val="en-GB" w:eastAsia="en-US"/>
    </w:rPr>
  </w:style>
  <w:style w:type="paragraph" w:styleId="1">
    <w:name w:val="heading 1"/>
    <w:next w:val="a"/>
    <w:link w:val="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宋体" w:hAnsi="Arial"/>
      <w:sz w:val="28"/>
      <w:szCs w:val="22"/>
      <w:lang w:val="en-GB"/>
    </w:rPr>
  </w:style>
  <w:style w:type="paragraph" w:styleId="2">
    <w:name w:val="heading 2"/>
    <w:basedOn w:val="a"/>
    <w:next w:val="a"/>
    <w:qFormat/>
    <w:pPr>
      <w:keepNext/>
      <w:numPr>
        <w:ilvl w:val="1"/>
        <w:numId w:val="1"/>
      </w:numPr>
      <w:tabs>
        <w:tab w:val="left" w:pos="576"/>
      </w:tabs>
      <w:spacing w:before="240" w:after="60"/>
      <w:outlineLvl w:val="1"/>
    </w:pPr>
    <w:rPr>
      <w:rFonts w:ascii="Arial" w:eastAsia="宋体" w:hAnsi="Arial" w:cs="Arial"/>
      <w:bCs/>
      <w:iCs/>
      <w:sz w:val="28"/>
      <w:szCs w:val="28"/>
      <w:lang w:val="en-US" w:eastAsia="zh-CN"/>
    </w:rPr>
  </w:style>
  <w:style w:type="paragraph" w:styleId="3">
    <w:name w:val="heading 3"/>
    <w:basedOn w:val="a"/>
    <w:next w:val="a"/>
    <w:qFormat/>
    <w:pPr>
      <w:keepNext/>
      <w:numPr>
        <w:ilvl w:val="2"/>
        <w:numId w:val="1"/>
      </w:numPr>
      <w:tabs>
        <w:tab w:val="left" w:pos="720"/>
      </w:tabs>
      <w:spacing w:before="240" w:after="60"/>
      <w:outlineLvl w:val="2"/>
    </w:pPr>
    <w:rPr>
      <w:rFonts w:cs="Arial"/>
      <w:b/>
      <w:bCs/>
      <w:sz w:val="24"/>
      <w:szCs w:val="26"/>
    </w:rPr>
  </w:style>
  <w:style w:type="paragraph" w:styleId="4">
    <w:name w:val="heading 4"/>
    <w:basedOn w:val="a"/>
    <w:next w:val="a"/>
    <w:link w:val="4Char"/>
    <w:qFormat/>
    <w:pPr>
      <w:keepNext/>
      <w:numPr>
        <w:ilvl w:val="3"/>
        <w:numId w:val="1"/>
      </w:numPr>
      <w:tabs>
        <w:tab w:val="left" w:pos="864"/>
      </w:tabs>
      <w:spacing w:before="240" w:after="60"/>
      <w:outlineLvl w:val="3"/>
    </w:pPr>
    <w:rPr>
      <w:b/>
      <w:bCs/>
      <w:sz w:val="28"/>
      <w:szCs w:val="28"/>
    </w:rPr>
  </w:style>
  <w:style w:type="paragraph" w:styleId="5">
    <w:name w:val="heading 5"/>
    <w:basedOn w:val="a"/>
    <w:next w:val="a"/>
    <w:qFormat/>
    <w:pPr>
      <w:numPr>
        <w:ilvl w:val="4"/>
        <w:numId w:val="1"/>
      </w:numPr>
      <w:tabs>
        <w:tab w:val="left" w:pos="1008"/>
      </w:tabs>
      <w:spacing w:before="240" w:after="60"/>
      <w:outlineLvl w:val="4"/>
    </w:pPr>
    <w:rPr>
      <w:b/>
      <w:bCs/>
      <w:i/>
      <w:iCs/>
      <w:sz w:val="26"/>
      <w:szCs w:val="26"/>
    </w:rPr>
  </w:style>
  <w:style w:type="paragraph" w:styleId="6">
    <w:name w:val="heading 6"/>
    <w:basedOn w:val="a"/>
    <w:next w:val="a"/>
    <w:qFormat/>
    <w:pPr>
      <w:numPr>
        <w:ilvl w:val="5"/>
        <w:numId w:val="1"/>
      </w:numPr>
      <w:tabs>
        <w:tab w:val="left" w:pos="1152"/>
      </w:tabs>
      <w:spacing w:before="240" w:after="60"/>
      <w:outlineLvl w:val="5"/>
    </w:pPr>
    <w:rPr>
      <w:b/>
      <w:bCs/>
      <w:sz w:val="22"/>
      <w:szCs w:val="22"/>
    </w:rPr>
  </w:style>
  <w:style w:type="paragraph" w:styleId="7">
    <w:name w:val="heading 7"/>
    <w:basedOn w:val="a"/>
    <w:next w:val="a"/>
    <w:qFormat/>
    <w:pPr>
      <w:numPr>
        <w:ilvl w:val="6"/>
        <w:numId w:val="1"/>
      </w:numPr>
      <w:tabs>
        <w:tab w:val="left" w:pos="1296"/>
      </w:tabs>
      <w:spacing w:before="240" w:after="60"/>
      <w:outlineLvl w:val="6"/>
    </w:pPr>
    <w:rPr>
      <w:sz w:val="24"/>
      <w:szCs w:val="24"/>
    </w:rPr>
  </w:style>
  <w:style w:type="paragraph" w:styleId="8">
    <w:name w:val="heading 8"/>
    <w:basedOn w:val="a"/>
    <w:next w:val="a0"/>
    <w:link w:val="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
    <w:link w:val="Char3"/>
    <w:uiPriority w:val="99"/>
    <w:unhideWhenUsed/>
    <w:qFormat/>
    <w:pPr>
      <w:tabs>
        <w:tab w:val="center" w:pos="4513"/>
        <w:tab w:val="right" w:pos="9026"/>
      </w:tabs>
      <w:snapToGrid w:val="0"/>
    </w:pPr>
  </w:style>
  <w:style w:type="paragraph" w:styleId="ae">
    <w:name w:val="header"/>
    <w:link w:val="Char4"/>
    <w:qFormat/>
    <w:pPr>
      <w:widowControl w:val="0"/>
      <w:overflowPunct w:val="0"/>
      <w:autoSpaceDE w:val="0"/>
      <w:autoSpaceDN w:val="0"/>
      <w:adjustRightInd w:val="0"/>
      <w:textAlignment w:val="baseline"/>
    </w:pPr>
    <w:rPr>
      <w:rFonts w:ascii="Arial"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1">
    <w:name w:val="Strong"/>
    <w:basedOn w:val="a1"/>
    <w:uiPriority w:val="22"/>
    <w:qFormat/>
    <w:rPr>
      <w:b/>
      <w:bCs/>
    </w:rPr>
  </w:style>
  <w:style w:type="character" w:styleId="af2">
    <w:name w:val="FollowedHyperlink"/>
    <w:basedOn w:val="a1"/>
    <w:qFormat/>
    <w:rPr>
      <w:color w:val="800080"/>
      <w:u w:val="single"/>
    </w:rPr>
  </w:style>
  <w:style w:type="character" w:styleId="af3">
    <w:name w:val="Hyperlink"/>
    <w:basedOn w:val="a1"/>
    <w:uiPriority w:val="99"/>
    <w:unhideWhenUsed/>
    <w:qFormat/>
    <w:rPr>
      <w:color w:val="0000FF"/>
      <w:u w:val="single"/>
    </w:rPr>
  </w:style>
  <w:style w:type="character" w:styleId="af4">
    <w:name w:val="annotation reference"/>
    <w:basedOn w:val="a1"/>
    <w:unhideWhenUsed/>
    <w:qFormat/>
    <w:rPr>
      <w:sz w:val="16"/>
      <w:szCs w:val="16"/>
    </w:rPr>
  </w:style>
  <w:style w:type="table" w:styleId="af5">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f"/>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5">
    <w:name w:val="列出段落 Char"/>
    <w:link w:val="12"/>
    <w:uiPriority w:val="72"/>
    <w:qFormat/>
    <w:rPr>
      <w:rFonts w:ascii="宋体" w:eastAsia="宋体" w:hAnsi="宋体" w:cs="宋体"/>
      <w:sz w:val="24"/>
      <w:szCs w:val="24"/>
    </w:rPr>
  </w:style>
  <w:style w:type="paragraph" w:customStyle="1" w:styleId="12">
    <w:name w:val="列出段落1"/>
    <w:basedOn w:val="a"/>
    <w:link w:val="Char5"/>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val="en-GB" w:eastAsia="en-US"/>
    </w:rPr>
  </w:style>
  <w:style w:type="paragraph" w:customStyle="1" w:styleId="af6">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rPr>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20">
    <w:name w:val="修订2"/>
    <w:hidden/>
    <w:uiPriority w:val="99"/>
    <w:semiHidden/>
    <w:qFormat/>
    <w:rPr>
      <w:lang w:val="en-GB" w:eastAsia="en-US"/>
    </w:rPr>
  </w:style>
  <w:style w:type="paragraph" w:customStyle="1" w:styleId="21">
    <w:name w:val="列出段落2"/>
    <w:basedOn w:val="a"/>
    <w:uiPriority w:val="99"/>
    <w:qFormat/>
    <w:pPr>
      <w:ind w:firstLineChars="200" w:firstLine="420"/>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99"/>
    <w:qFormat/>
    <w:pPr>
      <w:ind w:firstLineChars="200" w:firstLine="420"/>
    </w:pPr>
  </w:style>
  <w:style w:type="paragraph" w:styleId="af7">
    <w:name w:val="List Paragraph"/>
    <w:basedOn w:val="a"/>
    <w:uiPriority w:val="34"/>
    <w:qFormat/>
    <w:pPr>
      <w:ind w:leftChars="400" w:left="840"/>
    </w:pPr>
  </w:style>
  <w:style w:type="paragraph" w:customStyle="1" w:styleId="YJ--">
    <w:name w:val="YJ--正文"/>
    <w:basedOn w:val="a"/>
    <w:qFormat/>
    <w:pPr>
      <w:widowControl w:val="0"/>
      <w:spacing w:before="156" w:after="156" w:line="360" w:lineRule="auto"/>
      <w:ind w:firstLineChars="200" w:firstLine="420"/>
    </w:pPr>
    <w:rPr>
      <w:rFonts w:eastAsia="宋体" w:cs="宋体"/>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26C818-8E8F-4B03-B615-AAA300E1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1218</Words>
  <Characters>6946</Characters>
  <Application>Microsoft Office Word</Application>
  <DocSecurity>0</DocSecurity>
  <Lines>57</Lines>
  <Paragraphs>16</Paragraphs>
  <ScaleCrop>false</ScaleCrop>
  <Company>ZTE</Company>
  <LinksUpToDate>false</LinksUpToDate>
  <CharactersWithSpaces>8148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4</cp:revision>
  <cp:lastPrinted>2011-10-28T07:16:00Z</cp:lastPrinted>
  <dcterms:created xsi:type="dcterms:W3CDTF">2019-02-13T23:41:00Z</dcterms:created>
  <dcterms:modified xsi:type="dcterms:W3CDTF">2019-02-15T21:55:00Z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